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2B6AF7">
      <w:pPr>
        <w:pStyle w:val="1"/>
      </w:pPr>
      <w:r>
        <w:fldChar w:fldCharType="begin"/>
      </w:r>
      <w:r>
        <w:instrText>HYPERLINK "http://ivo.garant.ru/document/redirect/4178906/0"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Главного государственного санитарного врача РФ от 28 января 2003 г. </w:t>
      </w:r>
      <w:r>
        <w:rPr>
          <w:rStyle w:val="a4"/>
          <w:b w:val="0"/>
          <w:bCs w:val="0"/>
        </w:rPr>
        <w:t>N 2 "О введении в действие санитарно-эпидемиологических правил и нормативов СанПиН 2.4.3.1186-03" (с изменениями и дополнениями)</w:t>
      </w:r>
      <w:r>
        <w:fldChar w:fldCharType="end"/>
      </w:r>
    </w:p>
    <w:p w:rsidR="00000000" w:rsidRDefault="002B6AF7">
      <w:pPr>
        <w:pStyle w:val="1"/>
      </w:pPr>
      <w:r>
        <w:t>Постановление Главного государственного санитарного врача РФ</w:t>
      </w:r>
      <w:r>
        <w:br/>
        <w:t>от 28 января 2003 г. N 2</w:t>
      </w:r>
      <w:r>
        <w:br/>
        <w:t>"О введении в действие санитарно-эпиде</w:t>
      </w:r>
      <w:r>
        <w:t>миологических правил и нормативов СанПиН 2.4.3.1186-03"</w:t>
      </w:r>
    </w:p>
    <w:p w:rsidR="00000000" w:rsidRDefault="002B6AF7">
      <w:pPr>
        <w:pStyle w:val="ab"/>
      </w:pPr>
      <w:r>
        <w:t>С изменениями и дополнениями от:</w:t>
      </w:r>
    </w:p>
    <w:p w:rsidR="00000000" w:rsidRDefault="002B6AF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апреля 2007 г., 23 июля 2008 г., 30 сентября 2009 г., 4 марта 2011 г.</w:t>
      </w:r>
    </w:p>
    <w:p w:rsidR="00000000" w:rsidRDefault="002B6AF7"/>
    <w:p w:rsidR="00000000" w:rsidRDefault="002B6AF7">
      <w:r>
        <w:t xml:space="preserve">На основании </w:t>
      </w:r>
      <w:hyperlink r:id="rId7" w:history="1">
        <w:r>
          <w:rPr>
            <w:rStyle w:val="a4"/>
          </w:rPr>
          <w:t>Федерального закона</w:t>
        </w:r>
      </w:hyperlink>
      <w:r>
        <w:t xml:space="preserve"> "О санитарно-эпидемиологическом благополучии населения" от 30 марта 1999 г. N 52-ФЗ (Собрание законодательства Российской Федерации, 1999, N 14, ст.1650) и </w:t>
      </w:r>
      <w:hyperlink r:id="rId8" w:history="1">
        <w:r>
          <w:rPr>
            <w:rStyle w:val="a4"/>
          </w:rPr>
          <w:t>Положения</w:t>
        </w:r>
      </w:hyperlink>
      <w:r>
        <w:t xml:space="preserve"> </w:t>
      </w:r>
      <w:r>
        <w:t xml:space="preserve">о государственном санитарно-эпидемиологическом нормировании, утвержденного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 июля 2000 г. N 554 (Собрание законодательства Российской Феде</w:t>
      </w:r>
      <w:r>
        <w:t>рации, 2000, N 31, ст.3295), постановляю:</w:t>
      </w:r>
    </w:p>
    <w:p w:rsidR="00000000" w:rsidRDefault="002B6AF7">
      <w:bookmarkStart w:id="1" w:name="sub_1"/>
      <w:r>
        <w:t xml:space="preserve">1. Ввести в действие </w:t>
      </w:r>
      <w:hyperlink w:anchor="sub_1000" w:history="1">
        <w:r>
          <w:rPr>
            <w:rStyle w:val="a4"/>
          </w:rPr>
          <w:t>санитарно-эпидемиологические правила и нормативы</w:t>
        </w:r>
      </w:hyperlink>
      <w:r>
        <w:t xml:space="preserve"> "Санитарно-эпидемиологические требования к организации учебно-производственного процесса в образовательных учрежд</w:t>
      </w:r>
      <w:r>
        <w:t>ениях начального профессионального образования СанПиН 2.4.3.1186-03", утвержденные Главным государственным санитарным врачом Российской Федерации 26 января 2003 года, с 20 июня 2003 года.</w:t>
      </w:r>
    </w:p>
    <w:bookmarkEnd w:id="1"/>
    <w:p w:rsidR="00000000" w:rsidRDefault="002B6AF7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8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B6AF7">
            <w:pPr>
              <w:pStyle w:val="aa"/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B6AF7">
            <w:pPr>
              <w:pStyle w:val="aa"/>
              <w:jc w:val="right"/>
            </w:pPr>
            <w:r>
              <w:t>Г.Г.Онищенко</w:t>
            </w:r>
          </w:p>
        </w:tc>
      </w:tr>
    </w:tbl>
    <w:p w:rsidR="00000000" w:rsidRDefault="002B6AF7"/>
    <w:p w:rsidR="00000000" w:rsidRDefault="002B6AF7">
      <w:pPr>
        <w:ind w:firstLine="0"/>
      </w:pPr>
      <w:r>
        <w:t xml:space="preserve">Зарегистрировано в Минюсте РФ 11 февраля 2003 </w:t>
      </w:r>
      <w:r>
        <w:t>г.</w:t>
      </w:r>
    </w:p>
    <w:p w:rsidR="00000000" w:rsidRDefault="002B6AF7">
      <w:pPr>
        <w:ind w:firstLine="0"/>
      </w:pPr>
      <w:r>
        <w:t>Регистрационный N 4204</w:t>
      </w:r>
    </w:p>
    <w:p w:rsidR="00000000" w:rsidRDefault="002B6AF7"/>
    <w:p w:rsidR="00000000" w:rsidRDefault="002B6AF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1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"/>
    <w:p w:rsidR="00000000" w:rsidRDefault="002B6AF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Настоящие СанПиН </w:t>
      </w:r>
      <w:hyperlink w:anchor="sub_1" w:history="1">
        <w:r>
          <w:rPr>
            <w:rStyle w:val="a4"/>
            <w:shd w:val="clear" w:color="auto" w:fill="F0F0F0"/>
          </w:rPr>
          <w:t>вводятся в действие</w:t>
        </w:r>
      </w:hyperlink>
      <w:r>
        <w:rPr>
          <w:shd w:val="clear" w:color="auto" w:fill="F0F0F0"/>
        </w:rPr>
        <w:t xml:space="preserve"> с 20 июня 2003 г.</w:t>
      </w:r>
    </w:p>
    <w:p w:rsidR="00000000" w:rsidRDefault="002B6AF7">
      <w:pPr>
        <w:pStyle w:val="1"/>
      </w:pPr>
      <w:r>
        <w:t>Санитарно-эпидемиологические правила и нормативы СанПиН 2.4.3.1186-03</w:t>
      </w:r>
      <w:r>
        <w:br/>
        <w:t>2.4.3. Учреждения начального профессионального образован</w:t>
      </w:r>
      <w:r>
        <w:t>ия</w:t>
      </w:r>
      <w:r>
        <w:br/>
        <w:t>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</w:t>
      </w:r>
      <w:r>
        <w:br/>
        <w:t>(утв. Главным государственным санитарным врачом РФ 26 января 2003 г.)</w:t>
      </w:r>
    </w:p>
    <w:p w:rsidR="00000000" w:rsidRDefault="002B6AF7">
      <w:pPr>
        <w:pStyle w:val="ab"/>
      </w:pPr>
      <w:r>
        <w:t>С изменениями и дополнен</w:t>
      </w:r>
      <w:r>
        <w:t>иями от:</w:t>
      </w:r>
    </w:p>
    <w:p w:rsidR="00000000" w:rsidRDefault="002B6AF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апреля 2007 г., 23 июля 2008 г., 30 сентября 2009 г., 4 марта 2011 г.</w:t>
      </w:r>
    </w:p>
    <w:p w:rsidR="00000000" w:rsidRDefault="002B6AF7"/>
    <w:p w:rsidR="00000000" w:rsidRDefault="002B6AF7">
      <w:pPr>
        <w:ind w:firstLine="698"/>
        <w:jc w:val="right"/>
      </w:pPr>
      <w:r>
        <w:rPr>
          <w:rStyle w:val="a3"/>
        </w:rPr>
        <w:t>Дата введения 20 июня 2003 г.</w:t>
      </w:r>
    </w:p>
    <w:p w:rsidR="00000000" w:rsidRDefault="002B6AF7"/>
    <w:p w:rsidR="00000000" w:rsidRDefault="002B6AF7">
      <w:pPr>
        <w:pStyle w:val="1"/>
      </w:pPr>
      <w:bookmarkStart w:id="3" w:name="sub_1100"/>
      <w:r>
        <w:t>I. Общие положения и область применения</w:t>
      </w:r>
    </w:p>
    <w:bookmarkEnd w:id="3"/>
    <w:p w:rsidR="00000000" w:rsidRDefault="002B6AF7"/>
    <w:p w:rsidR="00000000" w:rsidRDefault="002B6AF7">
      <w:bookmarkStart w:id="4" w:name="sub_11"/>
      <w:r>
        <w:t xml:space="preserve">1.1. Настоящие Санитарно-эпидемиологические правила и нормативы (далее - санитарные правила) разработаны в соответствии с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от 30 марта 1999 г. N 52-ФЗ "О санитарно-эпидемиол</w:t>
      </w:r>
      <w:r>
        <w:t xml:space="preserve">огическом благополучии населения", </w:t>
      </w:r>
      <w:hyperlink r:id="rId11" w:history="1">
        <w:r>
          <w:rPr>
            <w:rStyle w:val="a4"/>
          </w:rPr>
          <w:t>Положением</w:t>
        </w:r>
      </w:hyperlink>
      <w:r>
        <w:t xml:space="preserve"> о государственном санитарно-эпидемиологическом нормировании, утвержденных </w:t>
      </w:r>
      <w:hyperlink r:id="rId12" w:history="1">
        <w:r>
          <w:rPr>
            <w:rStyle w:val="a4"/>
          </w:rPr>
          <w:t>постанов</w:t>
        </w:r>
        <w:r>
          <w:rPr>
            <w:rStyle w:val="a4"/>
          </w:rPr>
          <w:t>лением</w:t>
        </w:r>
      </w:hyperlink>
      <w:r>
        <w:t xml:space="preserve"> Правительства Российской Федерации от 24 июля 2000 г. N 554.</w:t>
      </w:r>
    </w:p>
    <w:p w:rsidR="00000000" w:rsidRDefault="002B6AF7">
      <w:bookmarkStart w:id="5" w:name="sub_12"/>
      <w:bookmarkEnd w:id="4"/>
      <w:r>
        <w:t xml:space="preserve">1.2. Санитарные правила устанавливают санитарно-эпидемиологические требования к </w:t>
      </w:r>
      <w:r>
        <w:lastRenderedPageBreak/>
        <w:t>организации учебно-производственного процесса в образовательных учреждениях начального профес</w:t>
      </w:r>
      <w:r>
        <w:t>сионального образования независимо от форм собственности и ведомственной принадлежности.</w:t>
      </w:r>
    </w:p>
    <w:p w:rsidR="00000000" w:rsidRDefault="002B6AF7">
      <w:bookmarkStart w:id="6" w:name="sub_13"/>
      <w:bookmarkEnd w:id="5"/>
      <w:r>
        <w:t>1.3. Настоящие санитарные правила являются обязательными для исполнения всеми юридическими лицами и индивидуальными предпринимателями, деятельность которых</w:t>
      </w:r>
      <w:r>
        <w:t xml:space="preserve"> связана с проектированием, строительством, реконструкцией, эксплуатацией учреждений начального профессионального образования, обучением и воспитанием подростков, а также для органов и учреждений, осуществляющих государственный санитарно-эпидемиологический</w:t>
      </w:r>
      <w:r>
        <w:t xml:space="preserve"> надзор.</w:t>
      </w:r>
    </w:p>
    <w:p w:rsidR="00000000" w:rsidRDefault="002B6AF7">
      <w:bookmarkStart w:id="7" w:name="sub_14"/>
      <w:bookmarkEnd w:id="6"/>
      <w:r>
        <w:t>1.4. Настоящие санитарные правила распространяются на все виды учреждений начального профессионального образования независимо от профиля и уровня подготовки кадров.</w:t>
      </w:r>
    </w:p>
    <w:bookmarkEnd w:id="7"/>
    <w:p w:rsidR="00000000" w:rsidRDefault="002B6AF7"/>
    <w:p w:rsidR="00000000" w:rsidRDefault="002B6AF7">
      <w:pPr>
        <w:pStyle w:val="1"/>
      </w:pPr>
      <w:bookmarkStart w:id="8" w:name="sub_1200"/>
      <w:r>
        <w:t>II. Требования к устройству, содержанию, организации об</w:t>
      </w:r>
      <w:r>
        <w:t>разовательного процесса в учреждениях начального профессионального образования</w:t>
      </w:r>
    </w:p>
    <w:bookmarkEnd w:id="8"/>
    <w:p w:rsidR="00000000" w:rsidRDefault="002B6AF7"/>
    <w:p w:rsidR="00000000" w:rsidRDefault="002B6AF7">
      <w:r>
        <w:t>Проектирование и строительство новых, реконструкция существующих (действующих) образовательных учреждений системы начального профессионального образования осуществляютс</w:t>
      </w:r>
      <w:r>
        <w:t>я с учетом требований настоящих правил.</w:t>
      </w:r>
    </w:p>
    <w:p w:rsidR="00000000" w:rsidRDefault="002B6AF7">
      <w:r>
        <w:t>Временное использование зданий и сооружений под образовательные учреждения начального профессионального образования, а также ввод в эксплуатацию построенных и реконструируемых зданий допускается при наличии санитарно</w:t>
      </w:r>
      <w:r>
        <w:t>-эпидемиологического заключения о соответствии их санитарным правилам.</w:t>
      </w:r>
    </w:p>
    <w:p w:rsidR="00000000" w:rsidRDefault="002B6AF7"/>
    <w:p w:rsidR="00000000" w:rsidRDefault="002B6AF7">
      <w:pPr>
        <w:pStyle w:val="1"/>
      </w:pPr>
      <w:bookmarkStart w:id="9" w:name="sub_1221"/>
      <w:r>
        <w:t>2.1. Требования к земельному участку</w:t>
      </w:r>
    </w:p>
    <w:bookmarkEnd w:id="9"/>
    <w:p w:rsidR="00000000" w:rsidRDefault="002B6AF7"/>
    <w:p w:rsidR="00000000" w:rsidRDefault="002B6AF7">
      <w:bookmarkStart w:id="10" w:name="sub_211"/>
      <w:r>
        <w:t>2.1.1. Учреждения начального профессионального образования (далее - учреждения НПО) разм</w:t>
      </w:r>
      <w:r>
        <w:t>ещаются на самостоятельном земельном участке.</w:t>
      </w:r>
    </w:p>
    <w:p w:rsidR="00000000" w:rsidRDefault="002B6AF7">
      <w:bookmarkStart w:id="11" w:name="sub_212"/>
      <w:bookmarkEnd w:id="10"/>
      <w:r>
        <w:t>2.1.2. Размещение учреждений НПО, в том числе включая зоны отдыха, спортивные площадки и спортивные сооружения для подростков, на территориях санитарно-защитных зон не допускается.</w:t>
      </w:r>
    </w:p>
    <w:p w:rsidR="00000000" w:rsidRDefault="002B6AF7">
      <w:bookmarkStart w:id="12" w:name="sub_213"/>
      <w:bookmarkEnd w:id="11"/>
      <w:r>
        <w:t>2</w:t>
      </w:r>
      <w:r>
        <w:t>.1.3. Земельный участок следует отводить с учетом розы ветров, с наветренной стороны от источников шума, загрязнений атмосферного воздуха и соблюдения необходимых санитарно-защитных зон.</w:t>
      </w:r>
    </w:p>
    <w:p w:rsidR="00000000" w:rsidRDefault="002B6AF7">
      <w:bookmarkStart w:id="13" w:name="sub_214"/>
      <w:bookmarkEnd w:id="12"/>
      <w:r>
        <w:t>2.1.4. Санитарные разрывы учреждений НПО от промышленны</w:t>
      </w:r>
      <w:r>
        <w:t>х, коммунальных, сельскохозяйственных объектов, транспортных дорог и магистралей принимают в соответствии с требованиями, предъявляемыми к планировке и застройке городов, поселков и сельских населенных пунктов.</w:t>
      </w:r>
    </w:p>
    <w:p w:rsidR="00000000" w:rsidRDefault="002B6AF7">
      <w:bookmarkStart w:id="14" w:name="sub_215"/>
      <w:bookmarkEnd w:id="13"/>
      <w:r>
        <w:t>2.1.5. Через территории учрежде</w:t>
      </w:r>
      <w:r>
        <w:t>ний НПО не должны проходить магистральные инженерные коммуникации городского (сельского) назначения (водоснабжения, канализации, теплоснабжения, электроснабжения).</w:t>
      </w:r>
    </w:p>
    <w:p w:rsidR="00000000" w:rsidRDefault="002B6AF7">
      <w:bookmarkStart w:id="15" w:name="sub_216"/>
      <w:bookmarkEnd w:id="14"/>
      <w:r>
        <w:t>2.1.6. Размеры земельных участков следует принимать в соответствии с требовани</w:t>
      </w:r>
      <w:r>
        <w:t>ями к планировке и застройке городских и сельских поселений (</w:t>
      </w:r>
      <w:hyperlink w:anchor="sub_12211" w:history="1">
        <w:r>
          <w:rPr>
            <w:rStyle w:val="a4"/>
          </w:rPr>
          <w:t>табл.1</w:t>
        </w:r>
      </w:hyperlink>
      <w:r>
        <w:t>).</w:t>
      </w:r>
    </w:p>
    <w:p w:rsidR="00000000" w:rsidRDefault="002B6AF7">
      <w:pPr>
        <w:ind w:firstLine="698"/>
        <w:jc w:val="right"/>
      </w:pPr>
      <w:bookmarkStart w:id="16" w:name="sub_12211"/>
      <w:bookmarkEnd w:id="15"/>
      <w:r>
        <w:rPr>
          <w:rStyle w:val="a3"/>
        </w:rPr>
        <w:t>Таблица 1</w:t>
      </w:r>
    </w:p>
    <w:bookmarkEnd w:id="16"/>
    <w:p w:rsidR="00000000" w:rsidRDefault="002B6AF7"/>
    <w:p w:rsidR="00000000" w:rsidRDefault="002B6AF7">
      <w:pPr>
        <w:pStyle w:val="1"/>
      </w:pPr>
      <w:r>
        <w:t>Размеры земельных участков в разных видах учреждений НПО</w:t>
      </w:r>
    </w:p>
    <w:p w:rsidR="00000000" w:rsidRDefault="002B6A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701"/>
        <w:gridCol w:w="1701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B6AF7">
            <w:pPr>
              <w:pStyle w:val="aa"/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Размеры земельных участков (га) в зависимости от количества обуч</w:t>
            </w:r>
            <w:r>
              <w:t>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</w:pPr>
            <w:r>
              <w:lastRenderedPageBreak/>
              <w:t>Образовательные учреждения НПО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до 300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300 до 400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400 до 600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600-1000 чел.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B6AF7">
            <w:pPr>
              <w:pStyle w:val="aa"/>
            </w:pPr>
            <w:r>
              <w:t>Для всех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AF7">
            <w:pPr>
              <w:pStyle w:val="aa"/>
            </w:pPr>
          </w:p>
          <w:p w:rsidR="00000000" w:rsidRDefault="002B6AF7">
            <w:pPr>
              <w:pStyle w:val="aa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AF7">
            <w:pPr>
              <w:pStyle w:val="aa"/>
            </w:pPr>
          </w:p>
          <w:p w:rsidR="00000000" w:rsidRDefault="002B6AF7">
            <w:pPr>
              <w:pStyle w:val="aa"/>
              <w:jc w:val="center"/>
            </w:pPr>
            <w:r>
              <w:t>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AF7">
            <w:pPr>
              <w:pStyle w:val="aa"/>
            </w:pPr>
          </w:p>
          <w:p w:rsidR="00000000" w:rsidRDefault="002B6AF7">
            <w:pPr>
              <w:pStyle w:val="aa"/>
              <w:jc w:val="center"/>
            </w:pPr>
            <w:r>
              <w:t>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B6AF7">
            <w:pPr>
              <w:pStyle w:val="aa"/>
            </w:pPr>
          </w:p>
          <w:p w:rsidR="00000000" w:rsidRDefault="002B6AF7">
            <w:pPr>
              <w:pStyle w:val="aa"/>
              <w:jc w:val="center"/>
            </w:pPr>
            <w: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B6AF7">
            <w:pPr>
              <w:pStyle w:val="aa"/>
            </w:pPr>
            <w:r>
              <w:t>Сельскохозяйственного профиля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AF7">
            <w:pPr>
              <w:pStyle w:val="aa"/>
            </w:pPr>
          </w:p>
          <w:p w:rsidR="00000000" w:rsidRDefault="002B6AF7">
            <w:pPr>
              <w:pStyle w:val="aa"/>
              <w:jc w:val="center"/>
            </w:pPr>
            <w:r>
              <w:t>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AF7">
            <w:pPr>
              <w:pStyle w:val="aa"/>
            </w:pPr>
          </w:p>
          <w:p w:rsidR="00000000" w:rsidRDefault="002B6AF7">
            <w:pPr>
              <w:pStyle w:val="aa"/>
              <w:jc w:val="center"/>
            </w:pPr>
            <w:r>
              <w:t>2,4-3,6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AF7">
            <w:pPr>
              <w:pStyle w:val="aa"/>
            </w:pPr>
          </w:p>
          <w:p w:rsidR="00000000" w:rsidRDefault="002B6AF7">
            <w:pPr>
              <w:pStyle w:val="aa"/>
              <w:jc w:val="center"/>
            </w:pPr>
            <w:r>
              <w:t>3,1-4,2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B6AF7">
            <w:pPr>
              <w:pStyle w:val="aa"/>
            </w:pPr>
          </w:p>
          <w:p w:rsidR="00000000" w:rsidRDefault="002B6AF7">
            <w:pPr>
              <w:pStyle w:val="aa"/>
              <w:jc w:val="center"/>
            </w:pPr>
            <w:r>
              <w:t>3,7-4,6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</w:pPr>
            <w:r>
              <w:t>Размещаемых в районах реконструкции</w:t>
            </w:r>
            <w:hyperlink w:anchor="sub_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</w:pPr>
          </w:p>
          <w:p w:rsidR="00000000" w:rsidRDefault="002B6AF7">
            <w:pPr>
              <w:pStyle w:val="aa"/>
              <w:jc w:val="center"/>
            </w:pPr>
            <w: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</w:pPr>
          </w:p>
          <w:p w:rsidR="00000000" w:rsidRDefault="002B6AF7">
            <w:pPr>
              <w:pStyle w:val="aa"/>
              <w:jc w:val="center"/>
            </w:pPr>
            <w:r>
              <w:t>1,2-2,4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</w:pPr>
          </w:p>
          <w:p w:rsidR="00000000" w:rsidRDefault="002B6AF7">
            <w:pPr>
              <w:pStyle w:val="aa"/>
              <w:jc w:val="center"/>
            </w:pPr>
            <w:r>
              <w:t>1,5-3,1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AF7">
            <w:pPr>
              <w:pStyle w:val="aa"/>
            </w:pPr>
          </w:p>
          <w:p w:rsidR="00000000" w:rsidRDefault="002B6AF7">
            <w:pPr>
              <w:pStyle w:val="aa"/>
              <w:jc w:val="center"/>
            </w:pPr>
            <w:r>
              <w:t>1,9-3,7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</w:pPr>
            <w:r>
              <w:t>Гуманитарного профиля</w:t>
            </w:r>
            <w:hyperlink w:anchor="sub_33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</w:pPr>
          </w:p>
          <w:p w:rsidR="00000000" w:rsidRDefault="002B6AF7">
            <w:pPr>
              <w:pStyle w:val="aa"/>
              <w:jc w:val="center"/>
            </w:pPr>
            <w:r>
              <w:t>1,4-2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</w:pPr>
          </w:p>
          <w:p w:rsidR="00000000" w:rsidRDefault="002B6AF7">
            <w:pPr>
              <w:pStyle w:val="aa"/>
              <w:jc w:val="center"/>
            </w:pPr>
            <w:r>
              <w:t>1,7-2,4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</w:pPr>
          </w:p>
          <w:p w:rsidR="00000000" w:rsidRDefault="002B6AF7">
            <w:pPr>
              <w:pStyle w:val="aa"/>
              <w:jc w:val="center"/>
            </w:pPr>
            <w:r>
              <w:t>2,2-3,1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AF7">
            <w:pPr>
              <w:pStyle w:val="aa"/>
            </w:pPr>
          </w:p>
          <w:p w:rsidR="00000000" w:rsidRDefault="002B6AF7">
            <w:pPr>
              <w:pStyle w:val="aa"/>
              <w:jc w:val="center"/>
            </w:pPr>
            <w:r>
              <w:t>2,6-3,7</w:t>
            </w:r>
          </w:p>
        </w:tc>
      </w:tr>
    </w:tbl>
    <w:p w:rsidR="00000000" w:rsidRDefault="002B6AF7">
      <w:pPr>
        <w:pStyle w:val="ac"/>
      </w:pPr>
      <w:r>
        <w:t>______________________________</w:t>
      </w:r>
    </w:p>
    <w:p w:rsidR="00000000" w:rsidRDefault="002B6AF7">
      <w:bookmarkStart w:id="17" w:name="sub_111"/>
      <w:r>
        <w:t>* Допускается увеличение, но не более чем на 50%.</w:t>
      </w:r>
    </w:p>
    <w:p w:rsidR="00000000" w:rsidRDefault="002B6AF7">
      <w:bookmarkStart w:id="18" w:name="sub_22"/>
      <w:bookmarkStart w:id="19" w:name="sub_10"/>
      <w:bookmarkEnd w:id="17"/>
      <w:r>
        <w:t>** Допускается сокращать, но не более чем на 50%.</w:t>
      </w:r>
    </w:p>
    <w:p w:rsidR="00000000" w:rsidRDefault="002B6AF7">
      <w:bookmarkStart w:id="20" w:name="sub_33"/>
      <w:bookmarkEnd w:id="18"/>
      <w:bookmarkEnd w:id="19"/>
      <w:r>
        <w:t>*** Допускается сокращать, но не более чем на 30%.</w:t>
      </w:r>
    </w:p>
    <w:bookmarkEnd w:id="20"/>
    <w:p w:rsidR="00000000" w:rsidRDefault="002B6AF7"/>
    <w:p w:rsidR="00000000" w:rsidRDefault="002B6AF7">
      <w:r>
        <w:rPr>
          <w:rStyle w:val="a3"/>
        </w:rPr>
        <w:t>Примечание:</w:t>
      </w:r>
      <w:r>
        <w:t xml:space="preserve"> В указанные размеры участков не входят участки общежитий, опытных полей и учебных полигонов.</w:t>
      </w:r>
    </w:p>
    <w:p w:rsidR="00000000" w:rsidRDefault="002B6AF7"/>
    <w:p w:rsidR="00000000" w:rsidRDefault="002B6AF7">
      <w:bookmarkStart w:id="21" w:name="sub_217"/>
      <w:r>
        <w:t>2.1.7. На земельном участке следует предусматривать следующие зоны: учебную, производственную, спортивную, хозяйственную, а при наличии общежития для обуч</w:t>
      </w:r>
      <w:r>
        <w:t>ающихся - жилую.</w:t>
      </w:r>
    </w:p>
    <w:p w:rsidR="00000000" w:rsidRDefault="002B6AF7">
      <w:bookmarkStart w:id="22" w:name="sub_218"/>
      <w:bookmarkEnd w:id="21"/>
      <w:r>
        <w:t>2.1.8. Общежитие целесообразно размещать на едином участке с учебным корпусом.</w:t>
      </w:r>
    </w:p>
    <w:p w:rsidR="00000000" w:rsidRDefault="002B6AF7">
      <w:bookmarkStart w:id="23" w:name="sub_219"/>
      <w:bookmarkEnd w:id="22"/>
      <w:r>
        <w:t>2.1.9. Хозяйственная зона должна быть изолирована от других зон участка, размещаться со стороны входа в производственные помещения и</w:t>
      </w:r>
      <w:r>
        <w:t xml:space="preserve"> иметь самостоятельный выезд на улицу.</w:t>
      </w:r>
    </w:p>
    <w:p w:rsidR="00000000" w:rsidRDefault="002B6AF7">
      <w:bookmarkStart w:id="24" w:name="sub_2110"/>
      <w:bookmarkEnd w:id="23"/>
      <w:r>
        <w:t>2.1.10. В учреждениях НПО сельскохозяйственного и других профилей, связанных с освоением транспортных средств, следует предусматривать зону учебного хозяйства вне основного участка для размещения зданий</w:t>
      </w:r>
      <w:r>
        <w:t xml:space="preserve"> и сооружений для ремонта, испытания и обслуживания транспортных средств.</w:t>
      </w:r>
    </w:p>
    <w:p w:rsidR="00000000" w:rsidRDefault="002B6AF7">
      <w:bookmarkStart w:id="25" w:name="sub_2111"/>
      <w:bookmarkEnd w:id="24"/>
      <w:r>
        <w:t>2.1.11. В учреждениях НПО строительного профиля, автомобильного, железнодорожного, водного транспорта, добывающей промышленности, сельского хозяйства следует организо</w:t>
      </w:r>
      <w:r>
        <w:t>вывать учебные полигоны на участках или вблизи от них (не более 30 минут пешеходной доступности). Площадь учебных полигонов в нормируемый размер участка не входит и определяется технологическими требованиями.</w:t>
      </w:r>
    </w:p>
    <w:p w:rsidR="00000000" w:rsidRDefault="002B6AF7">
      <w:bookmarkStart w:id="26" w:name="sub_2112"/>
      <w:bookmarkEnd w:id="25"/>
      <w:r>
        <w:t>2.1.12. Площадь озеленения земе</w:t>
      </w:r>
      <w:r>
        <w:t>льного участка должна составлять не менее 50% площади участка. Во избежание затенения деревья следует высаживать на расстоянии не менее 15 м, а кустарники - не менее 5 м от окон учебных помещений.</w:t>
      </w:r>
    </w:p>
    <w:p w:rsidR="00000000" w:rsidRDefault="002B6AF7">
      <w:bookmarkStart w:id="27" w:name="sub_2113"/>
      <w:bookmarkEnd w:id="26"/>
      <w:r>
        <w:t>2.1.13. Учебные здания размещают с отступом</w:t>
      </w:r>
      <w:r>
        <w:t xml:space="preserve"> от красной линии не менее 25 м в городах и 10 м - в сельских поселках.</w:t>
      </w:r>
    </w:p>
    <w:p w:rsidR="00000000" w:rsidRDefault="002B6AF7">
      <w:bookmarkStart w:id="28" w:name="sub_2114"/>
      <w:bookmarkEnd w:id="27"/>
      <w:r>
        <w:t>2.1.14. Все подъезды и подходы к зданию в пределах участка, территории хозяйственного двора асфальтируют или обеспечивают другое твердое покрытие.</w:t>
      </w:r>
    </w:p>
    <w:p w:rsidR="00000000" w:rsidRDefault="002B6AF7">
      <w:bookmarkStart w:id="29" w:name="sub_2115"/>
      <w:bookmarkEnd w:id="28"/>
      <w:r>
        <w:t>2.1.1</w:t>
      </w:r>
      <w:r>
        <w:t>5. Участок имеет ограждение высотой не менее 1,2 м. В вечернее время на территории участка обеспечивается искусственное освещение 10 люкс на земле.</w:t>
      </w:r>
    </w:p>
    <w:bookmarkEnd w:id="29"/>
    <w:p w:rsidR="00000000" w:rsidRDefault="002B6AF7"/>
    <w:p w:rsidR="00000000" w:rsidRDefault="002B6AF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" w:name="sub_12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000000" w:rsidRDefault="002B6AF7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30 сентября 2009 г. N 59 в раздел 2 настоящих СанПиН внесены изменения, </w:t>
      </w:r>
      <w:hyperlink r:id="rId1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2010 г.</w:t>
      </w:r>
    </w:p>
    <w:p w:rsidR="00000000" w:rsidRDefault="002B6AF7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текст раздела в предыдущей редакции</w:t>
        </w:r>
      </w:hyperlink>
    </w:p>
    <w:p w:rsidR="00000000" w:rsidRDefault="002B6AF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6AF7">
      <w:pPr>
        <w:pStyle w:val="1"/>
      </w:pPr>
      <w:r>
        <w:t>2.2. Требования к объемно-планировочным и конструктивным решениям зданий,</w:t>
      </w:r>
      <w:r>
        <w:br/>
      </w:r>
      <w:r>
        <w:lastRenderedPageBreak/>
        <w:t>сооружений и отдельных помещений</w:t>
      </w:r>
    </w:p>
    <w:p w:rsidR="00000000" w:rsidRDefault="002B6AF7"/>
    <w:p w:rsidR="00000000" w:rsidRDefault="002B6AF7">
      <w:r>
        <w:t>Количество обучающихся в учреждениях начальног</w:t>
      </w:r>
      <w:r>
        <w:t>о профессионального образования не должно превышать вместимости, предусмотренной проектом, по которому построено или приспособлено здание. Максимальная вместимость допускается не более 1000 обучающихся. В соответствии с гигиеническими требованиями к услови</w:t>
      </w:r>
      <w:r>
        <w:t>ям обучения наполняемость учебной группы не должна превышать 25 человек.</w:t>
      </w:r>
    </w:p>
    <w:p w:rsidR="00000000" w:rsidRDefault="002B6AF7">
      <w:r>
        <w:t>Учебные здания предусматривают высоту не более 4-х этажей и имеют следующие группы помещений: общеобразовательного цикла (учебные кабинеты, лаборатории химии, физики, биологии и др.),</w:t>
      </w:r>
      <w:r>
        <w:t xml:space="preserve"> профессиональной подготовки, спортивные и актовые залы, библиотеку, административно-служебные, складские и вспомогательные, общежитие и столовую.</w:t>
      </w:r>
    </w:p>
    <w:p w:rsidR="00000000" w:rsidRDefault="002B6AF7">
      <w:bookmarkStart w:id="31" w:name="sub_12223"/>
      <w:r>
        <w:t>Состав и площади помещений должны соответствовать требованиям настоящих санитарных правил и обеспечи</w:t>
      </w:r>
      <w:r>
        <w:t>вать условия для подготовки обучающихся по предметам общеобразовательных и профессиональных программ подготовки, практического освоения ими профессиональных навыков, в том числе и при дополнительном введении новых профилей профессионального образования.</w:t>
      </w:r>
    </w:p>
    <w:bookmarkEnd w:id="31"/>
    <w:p w:rsidR="00000000" w:rsidRDefault="002B6AF7">
      <w:r>
        <w:t>При размещении учебного заведения в приспособленном здании набор помещений, их площадь определяют, исходя из числа учащихся, необходимости организации учебного процесса по общеобразовательным и профильным предметам, практической подготовки по специа</w:t>
      </w:r>
      <w:r>
        <w:t>льности.</w:t>
      </w:r>
    </w:p>
    <w:p w:rsidR="00000000" w:rsidRDefault="002B6AF7">
      <w:r>
        <w:t xml:space="preserve">Взаимное расположение отдельных групп помещений обеспечивает удобную функциональную связь между собой и зонами участка, создает оптимальные условия для организации учебного процесса и отдыха. Учебные помещения изолируют от учебно-производственных </w:t>
      </w:r>
      <w:r>
        <w:t>мастерских и спортивного зала.</w:t>
      </w:r>
    </w:p>
    <w:p w:rsidR="00000000" w:rsidRDefault="002B6AF7">
      <w:r>
        <w:t>Учебно-производственные помещения, спортзал и столовую следует выделять в отдельные блоки, связанные переходом с основным корпусом.</w:t>
      </w:r>
    </w:p>
    <w:p w:rsidR="00000000" w:rsidRDefault="002B6AF7">
      <w:r>
        <w:t>Учебные помещения, лаборатории, мастерские, столовые, буфеты и медицинские кабинеты не следуе</w:t>
      </w:r>
      <w:r>
        <w:t>т размещать в подвальных и цокольных этажах зданий.</w:t>
      </w:r>
    </w:p>
    <w:p w:rsidR="00000000" w:rsidRDefault="002B6AF7"/>
    <w:p w:rsidR="00000000" w:rsidRDefault="002B6AF7">
      <w:pPr>
        <w:pStyle w:val="1"/>
      </w:pPr>
      <w:bookmarkStart w:id="32" w:name="sub_221"/>
      <w:r>
        <w:t>2.2.1. Учебные помещения общеобразовательного цикла</w:t>
      </w:r>
    </w:p>
    <w:bookmarkEnd w:id="32"/>
    <w:p w:rsidR="00000000" w:rsidRDefault="002B6AF7"/>
    <w:p w:rsidR="00000000" w:rsidRDefault="002B6AF7">
      <w:bookmarkStart w:id="33" w:name="sub_2211"/>
      <w:r>
        <w:t>2.2.1.1. Состав учебных помещений включает следующие основные группы: кабинеты и лаборатории общеобразовательного цикла, групповые и лекционно-поточные аудитории, кабинет информатики и ЭВТ.</w:t>
      </w:r>
    </w:p>
    <w:p w:rsidR="00000000" w:rsidRDefault="002B6AF7">
      <w:bookmarkStart w:id="34" w:name="sub_2212"/>
      <w:bookmarkEnd w:id="33"/>
      <w:r>
        <w:t>2.2.1.2. Площади учебных помещений должны соответс</w:t>
      </w:r>
      <w:r>
        <w:t>твовать требованиям, предъявляемым к общественным зданиям и сооружениям (</w:t>
      </w:r>
      <w:hyperlink w:anchor="sub_2215" w:history="1">
        <w:r>
          <w:rPr>
            <w:rStyle w:val="a4"/>
          </w:rPr>
          <w:t>табл.2</w:t>
        </w:r>
      </w:hyperlink>
      <w:r>
        <w:t>).</w:t>
      </w:r>
    </w:p>
    <w:bookmarkEnd w:id="34"/>
    <w:p w:rsidR="00000000" w:rsidRDefault="002B6AF7"/>
    <w:p w:rsidR="00000000" w:rsidRDefault="002B6AF7">
      <w:pPr>
        <w:ind w:firstLine="698"/>
        <w:jc w:val="right"/>
      </w:pPr>
      <w:bookmarkStart w:id="35" w:name="sub_2215"/>
      <w:r>
        <w:rPr>
          <w:rStyle w:val="a3"/>
        </w:rPr>
        <w:t>Таблица 2</w:t>
      </w:r>
    </w:p>
    <w:bookmarkEnd w:id="35"/>
    <w:p w:rsidR="00000000" w:rsidRDefault="002B6AF7"/>
    <w:p w:rsidR="00000000" w:rsidRDefault="002B6AF7">
      <w:pPr>
        <w:pStyle w:val="1"/>
      </w:pPr>
      <w:r>
        <w:t>Площади основных учебных помещений</w:t>
      </w:r>
    </w:p>
    <w:p w:rsidR="00000000" w:rsidRDefault="002B6A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9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B6AF7">
            <w:pPr>
              <w:pStyle w:val="aa"/>
              <w:jc w:val="center"/>
            </w:pPr>
            <w:r>
              <w:t>Площадь, м2 на 1 обучающегося (не менее)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</w:pPr>
            <w:r>
              <w:t>Учебные кабинеты общеобр</w:t>
            </w:r>
            <w:r>
              <w:t>азовательного цикла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</w:pPr>
            <w:r>
              <w:t>Лаборатории по естественным дисциплинам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B6AF7">
            <w:pPr>
              <w:pStyle w:val="aa"/>
            </w:pPr>
            <w:r>
              <w:t>Лаборатории и кабинеты профессионально-технических и специальных дисциплин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2,4</w:t>
            </w:r>
            <w:hyperlink w:anchor="sub_333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</w:pPr>
            <w:r>
              <w:t>Кабинет информатики и вычислительной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B6AF7">
            <w:pPr>
              <w:pStyle w:val="aa"/>
              <w:jc w:val="center"/>
            </w:pPr>
            <w:r>
              <w:t xml:space="preserve">6 (на 1 рабочее </w:t>
            </w:r>
            <w:r>
              <w:lastRenderedPageBreak/>
              <w:t>место у дисплея)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</w:pPr>
            <w:r>
              <w:lastRenderedPageBreak/>
              <w:t>Лингафонные кабинеты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</w:pPr>
            <w:r>
              <w:t>Кабинеты черчения, курсового и дипломного проектирования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2,4</w:t>
            </w:r>
          </w:p>
        </w:tc>
      </w:tr>
    </w:tbl>
    <w:p w:rsidR="00000000" w:rsidRDefault="002B6AF7">
      <w:pPr>
        <w:pStyle w:val="ac"/>
      </w:pPr>
      <w:r>
        <w:t>______________________________</w:t>
      </w:r>
    </w:p>
    <w:p w:rsidR="00000000" w:rsidRDefault="002B6AF7">
      <w:bookmarkStart w:id="36" w:name="sub_333"/>
      <w:r>
        <w:t>* В общую площадь кабинетов необходимо дополнительно включать площадь для размещения технологического оборудования по профилю обучения.</w:t>
      </w:r>
    </w:p>
    <w:bookmarkEnd w:id="36"/>
    <w:p w:rsidR="00000000" w:rsidRDefault="002B6AF7"/>
    <w:p w:rsidR="00000000" w:rsidRDefault="002B6AF7"/>
    <w:p w:rsidR="00000000" w:rsidRDefault="002B6AF7">
      <w:bookmarkStart w:id="37" w:name="sub_2213"/>
      <w:r>
        <w:t>2.2.1.3. Учебные помещения включают: рабочую зону (размещение учебных столов для учащихся), рабочую зон</w:t>
      </w:r>
      <w:r>
        <w:t>у учителя, дополнительное пространство для размещения учебно-наглядных пособий, технических средств обучения (ТСО).</w:t>
      </w:r>
    </w:p>
    <w:bookmarkEnd w:id="37"/>
    <w:p w:rsidR="00000000" w:rsidRDefault="002B6AF7">
      <w:r>
        <w:t>В зоне обучающихся устанавливают двухместные ученические лабораторные столы (с надстройкой и без нее); с подводкой электроэнергии (л</w:t>
      </w:r>
      <w:r>
        <w:t>аборатория физики); подводкой воды, сжатого воздуха и газа (лаборатория химии) с учетом требований организации учебного процесса. Лабораторию химии оборудуют вытяжными шкафами, которые располагают у торцевой стены возле стола преподавателя.</w:t>
      </w:r>
    </w:p>
    <w:p w:rsidR="00000000" w:rsidRDefault="002B6AF7"/>
    <w:p w:rsidR="00000000" w:rsidRDefault="002B6AF7">
      <w:pPr>
        <w:pStyle w:val="1"/>
      </w:pPr>
      <w:bookmarkStart w:id="38" w:name="sub_222"/>
      <w:r>
        <w:t xml:space="preserve">2.2.2. </w:t>
      </w:r>
      <w:r>
        <w:t>Помещения профессионального цикла</w:t>
      </w:r>
    </w:p>
    <w:bookmarkEnd w:id="38"/>
    <w:p w:rsidR="00000000" w:rsidRDefault="002B6AF7"/>
    <w:p w:rsidR="00000000" w:rsidRDefault="002B6AF7">
      <w:bookmarkStart w:id="39" w:name="sub_2221"/>
      <w:r>
        <w:t>2.2.2.1. Помещения профессионального цикла включают помещения, предназначенные для изучения специальных предметов по выбранному профилю подготовки, учебные лаборатории, кабинеты-лаборатории (</w:t>
      </w:r>
      <w:hyperlink w:anchor="sub_2215" w:history="1">
        <w:r>
          <w:rPr>
            <w:rStyle w:val="a4"/>
          </w:rPr>
          <w:t>табл.2</w:t>
        </w:r>
      </w:hyperlink>
      <w:r>
        <w:t>), учебно-производственные мастерские.</w:t>
      </w:r>
    </w:p>
    <w:p w:rsidR="00000000" w:rsidRDefault="002B6AF7">
      <w:bookmarkStart w:id="40" w:name="sub_2222"/>
      <w:bookmarkEnd w:id="39"/>
      <w:r>
        <w:t xml:space="preserve">2.2.2.2. В зависимости от вместимости училища предусматривают лекционные поточные аудитории на 2-4 группы, площадь которых принимается из расчета 1,2 м2 на 1 место. Поточные аудитории </w:t>
      </w:r>
      <w:r>
        <w:t>не должны иметь длину более 10 м.</w:t>
      </w:r>
    </w:p>
    <w:p w:rsidR="00000000" w:rsidRDefault="002B6AF7">
      <w:bookmarkStart w:id="41" w:name="sub_2223"/>
      <w:bookmarkEnd w:id="40"/>
      <w:r>
        <w:t>2.2.2.3. Высота учебных помещений теоретического цикла от пола до потолка составляет не менее 3,3 м, лабораторий с крупным оборудованием - 4,2 м.</w:t>
      </w:r>
    </w:p>
    <w:p w:rsidR="00000000" w:rsidRDefault="002B6AF7">
      <w:bookmarkStart w:id="42" w:name="sub_2224"/>
      <w:bookmarkEnd w:id="41"/>
      <w:r>
        <w:t>2.2.2.4. Кабинеты профессионального цикла им</w:t>
      </w:r>
      <w:r>
        <w:t>еют дополнительную площадь для экспозиции громоздкого оборудования (узлы, макеты, модели, тренажеры, миниатюр-полигоны, образцы и пр.).</w:t>
      </w:r>
    </w:p>
    <w:p w:rsidR="00000000" w:rsidRDefault="002B6AF7">
      <w:bookmarkStart w:id="43" w:name="sub_2225"/>
      <w:bookmarkEnd w:id="42"/>
      <w:r>
        <w:t>2.2.2.5. При продольной конфигурации учебного помещения зону экспозиции оборудования располагают у задне</w:t>
      </w:r>
      <w:r>
        <w:t>й торцевой стены, при квадратной или поперечной конфигурации - у боковой стены, противоположной оконным проемам.</w:t>
      </w:r>
    </w:p>
    <w:p w:rsidR="00000000" w:rsidRDefault="002B6AF7">
      <w:bookmarkStart w:id="44" w:name="sub_2226"/>
      <w:bookmarkEnd w:id="43"/>
      <w:r>
        <w:t>2.2.2.6. Лаборатории и кабинеты по специальным предметам (испытания материалов, спецтехнологии и материаловедения, подземно-тра</w:t>
      </w:r>
      <w:r>
        <w:t>нспортного оборудования, электроники и полупроводниковых приборов, строительных машин и др.) должны иметь площадь 83-88 м2, а для кабинетов с крупным оборудованием - 98-108 м2.</w:t>
      </w:r>
    </w:p>
    <w:p w:rsidR="00000000" w:rsidRDefault="002B6AF7">
      <w:bookmarkStart w:id="45" w:name="sub_2227"/>
      <w:bookmarkEnd w:id="44"/>
      <w:r>
        <w:t>2.2.2.7. При каждой лаборатории или двух однородных лабораториях и двух смежных учебных кабинетах оборудуют лаборантскую площадью не менее 15 м2.</w:t>
      </w:r>
    </w:p>
    <w:p w:rsidR="00000000" w:rsidRDefault="002B6AF7">
      <w:bookmarkStart w:id="46" w:name="sub_2228"/>
      <w:bookmarkEnd w:id="45"/>
      <w:r>
        <w:t>2.2.2.8. Площади учебно-производственных мастерских принимают из расчета на 1 место в зависимо</w:t>
      </w:r>
      <w:r>
        <w:t>сти от их вместимости (на 15 и 25 человек): слесарная - соответственно 5,4 и 4,5 м2, слесарно-инструментальная - 7,2 и 6,0 м2, слесарно-сборочная - 8,0 и 7,2 м2, токарная, фрезерная, механическая - 12,0 и 10,8 м2, электрогазосварочная - 12,0 и 9,6 м2, элек</w:t>
      </w:r>
      <w:r>
        <w:t>тросварочная - 9,0 и 7,5 м2, электромонтажная - 6,0 и 4,0 м2, механическая по обработке дерева - 12,0 и 10,0 м2, слесарей-монтажников крупногабаритного оборудования и трубопроводов - 10,0 и 8,0 м2.</w:t>
      </w:r>
    </w:p>
    <w:p w:rsidR="00000000" w:rsidRDefault="002B6AF7">
      <w:bookmarkStart w:id="47" w:name="sub_2229"/>
      <w:bookmarkEnd w:id="46"/>
      <w:r>
        <w:t>2.2.2.9. Монтажные учебные мастерские имею</w:t>
      </w:r>
      <w:r>
        <w:t>т монтажные кабины размером 1,5х1,5 м; мастерские, где проводится электро- и газосварка, кабины площадью 4 м2 каждая с передвижными боковыми перегородками высотой 2 м.</w:t>
      </w:r>
    </w:p>
    <w:p w:rsidR="00000000" w:rsidRDefault="002B6AF7">
      <w:bookmarkStart w:id="48" w:name="sub_22210"/>
      <w:bookmarkEnd w:id="47"/>
      <w:r>
        <w:t>2.2.2.10. Мастерские для сварочных работ, монтажные мастерские, в котор</w:t>
      </w:r>
      <w:r>
        <w:t xml:space="preserve">ых проводится </w:t>
      </w:r>
      <w:r>
        <w:lastRenderedPageBreak/>
        <w:t>рубка и резка металла, а также мастерские и лаборатории с крупногабаритным и тяжелым оборудованием, с крупногабаритными материалоемкими объектами работ изолируют от других мастерских, располагают на 1-м этаже. При сварочной мастерской организ</w:t>
      </w:r>
      <w:r>
        <w:t>уют лабораторию для контроля и механических испытаний сварочных швов.</w:t>
      </w:r>
    </w:p>
    <w:p w:rsidR="00000000" w:rsidRDefault="002B6AF7">
      <w:bookmarkStart w:id="49" w:name="sub_22211"/>
      <w:bookmarkEnd w:id="48"/>
      <w:r>
        <w:t>2.2.2.11. Состав и площади учебно-производственных помещений, помимо указанных выше, следует принимать по нормам технологического проектирования организаций соответству</w:t>
      </w:r>
      <w:r>
        <w:t>ющих отраслей промышленности и других отраслей экономики с учетом дополнительного выделения площади для установки оборудования, применяемого для учебных целей.</w:t>
      </w:r>
    </w:p>
    <w:p w:rsidR="00000000" w:rsidRDefault="002B6AF7">
      <w:bookmarkStart w:id="50" w:name="sub_22212"/>
      <w:bookmarkEnd w:id="49"/>
      <w:r>
        <w:t>2.2.2.12. В зависимости от профиля учреждений НПО учебно-производственные маст</w:t>
      </w:r>
      <w:r>
        <w:t>ерские имеют склады или помещения для хранения инструментов, инвентаря, заготовок, сырья и готовой продукции.</w:t>
      </w:r>
    </w:p>
    <w:p w:rsidR="00000000" w:rsidRDefault="002B6AF7">
      <w:bookmarkStart w:id="51" w:name="sub_22213"/>
      <w:bookmarkEnd w:id="50"/>
      <w:r>
        <w:t>2.2.2.13. Инструментально-раздаточная кладовая имеет площадь из расчета 0,05 м2 на 1 обучающегося, но не менее 15 м2.</w:t>
      </w:r>
    </w:p>
    <w:p w:rsidR="00000000" w:rsidRDefault="002B6AF7">
      <w:bookmarkStart w:id="52" w:name="sub_22214"/>
      <w:bookmarkEnd w:id="51"/>
      <w:r>
        <w:t>2.2.2.14. Отдел технического контроля имеет площадь 0,04 м2 на 1 обучающегося.</w:t>
      </w:r>
    </w:p>
    <w:p w:rsidR="00000000" w:rsidRDefault="002B6AF7">
      <w:bookmarkStart w:id="53" w:name="sub_22215"/>
      <w:bookmarkEnd w:id="52"/>
      <w:r>
        <w:t>2.2.2.15. Складские помещения следует принимать длиной не менее 6 м и площадью из расчета 0,2-0,3 м2 на 1 станочное место.</w:t>
      </w:r>
    </w:p>
    <w:p w:rsidR="00000000" w:rsidRDefault="002B6AF7">
      <w:bookmarkStart w:id="54" w:name="sub_22216"/>
      <w:bookmarkEnd w:id="53"/>
      <w:r>
        <w:t xml:space="preserve">2.2.2.16. </w:t>
      </w:r>
      <w:r>
        <w:t>Следует предусмотреть ремонтную мастерскую, санитарно-бытовой блок с гардеробами, душевыми и умывальниками.</w:t>
      </w:r>
    </w:p>
    <w:p w:rsidR="00000000" w:rsidRDefault="002B6AF7">
      <w:bookmarkStart w:id="55" w:name="sub_22217"/>
      <w:bookmarkEnd w:id="54"/>
      <w:r>
        <w:t>2.2.2.17. Лаборатории и мастерские не следует размещать в подвалах и цокольных этажах, а также над учебными помещениями.</w:t>
      </w:r>
    </w:p>
    <w:bookmarkEnd w:id="55"/>
    <w:p w:rsidR="00000000" w:rsidRDefault="002B6AF7"/>
    <w:p w:rsidR="00000000" w:rsidRDefault="002B6AF7">
      <w:pPr>
        <w:pStyle w:val="1"/>
      </w:pPr>
      <w:bookmarkStart w:id="56" w:name="sub_223"/>
      <w:r>
        <w:t>2.2.3. Требования к оборудованию</w:t>
      </w:r>
    </w:p>
    <w:bookmarkEnd w:id="56"/>
    <w:p w:rsidR="00000000" w:rsidRDefault="002B6AF7"/>
    <w:p w:rsidR="00000000" w:rsidRDefault="002B6AF7">
      <w:bookmarkStart w:id="57" w:name="sub_2231"/>
      <w:r>
        <w:t>2.2.3.1. Рабочее место обучающегося в классах, кабинетах и лабораториях оборудуют столами и стульями с учетом длины тела (в обуви) в зависимости от назначения учебного помещения. Не следует в учебных</w:t>
      </w:r>
      <w:r>
        <w:t xml:space="preserve"> кабинетах и лабораториях использовать скамейки, табуретки, стулья без спинок. Размеры мебели приведены в </w:t>
      </w:r>
      <w:hyperlink w:anchor="sub_0" w:history="1">
        <w:r>
          <w:rPr>
            <w:rStyle w:val="a4"/>
          </w:rPr>
          <w:t>табл.3</w:t>
        </w:r>
      </w:hyperlink>
      <w:r>
        <w:t>.</w:t>
      </w:r>
    </w:p>
    <w:bookmarkEnd w:id="57"/>
    <w:p w:rsidR="00000000" w:rsidRDefault="002B6AF7"/>
    <w:p w:rsidR="00000000" w:rsidRDefault="002B6AF7">
      <w:pPr>
        <w:ind w:firstLine="698"/>
        <w:jc w:val="right"/>
      </w:pPr>
      <w:bookmarkStart w:id="58" w:name="sub_223100"/>
      <w:r>
        <w:rPr>
          <w:rStyle w:val="a3"/>
        </w:rPr>
        <w:t>Таблица 3</w:t>
      </w:r>
    </w:p>
    <w:bookmarkEnd w:id="58"/>
    <w:p w:rsidR="00000000" w:rsidRDefault="002B6AF7"/>
    <w:p w:rsidR="00000000" w:rsidRDefault="002B6AF7">
      <w:pPr>
        <w:pStyle w:val="1"/>
      </w:pPr>
      <w:r>
        <w:t>Размеры мебели и ее маркировка по ГОСТу "Столы ученические" и "Стулья</w:t>
      </w:r>
      <w:r>
        <w:br/>
        <w:t>ученическ</w:t>
      </w:r>
      <w:r>
        <w:t>ие"</w:t>
      </w:r>
    </w:p>
    <w:p w:rsidR="00000000" w:rsidRDefault="002B6A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268"/>
        <w:gridCol w:w="2268"/>
        <w:gridCol w:w="2268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Номера мебели по ГОСТам</w:t>
            </w:r>
          </w:p>
          <w:p w:rsidR="00000000" w:rsidRDefault="002B6AF7">
            <w:pPr>
              <w:pStyle w:val="aa"/>
              <w:jc w:val="center"/>
            </w:pPr>
            <w:r>
              <w:t>11015-93</w:t>
            </w:r>
          </w:p>
          <w:p w:rsidR="00000000" w:rsidRDefault="002B6AF7">
            <w:pPr>
              <w:pStyle w:val="aa"/>
              <w:jc w:val="center"/>
            </w:pPr>
            <w:r>
              <w:t>11016-93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Группа роста (в мм)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Высота над полом крышки края стола, обращенного к ученику по ГОСТу 11015-93 (в мм)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Высота над полом переднего края сиденья по ГОСТу 11016-93 (в мм)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Цвет маркировки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1450-1600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640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380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красный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1600-1750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зеленый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свыше 1750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760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голубой</w:t>
            </w:r>
          </w:p>
        </w:tc>
      </w:tr>
    </w:tbl>
    <w:p w:rsidR="00000000" w:rsidRDefault="002B6AF7"/>
    <w:p w:rsidR="00000000" w:rsidRDefault="002B6AF7">
      <w:bookmarkStart w:id="59" w:name="sub_2232"/>
      <w:r>
        <w:t>2.2.3.2. Расстановку учебной мебели следует проводить с соблюдением угла видимости не менее 35° (угол, образованный поверхностью доски и крайними рабочими местами на первых столах).</w:t>
      </w:r>
    </w:p>
    <w:p w:rsidR="00000000" w:rsidRDefault="002B6AF7">
      <w:bookmarkStart w:id="60" w:name="sub_2233"/>
      <w:bookmarkEnd w:id="59"/>
      <w:r>
        <w:t>2.2.3.3. При продольной конфигурации учебного помещения ст</w:t>
      </w:r>
      <w:r>
        <w:t xml:space="preserve">олы обучающихся расставляют в 2-3 ряда перпендикулярно стене с оконными проемами для того, чтобы основной световой поток падал слева от обучающихся. Ширина проходов, начиная от стены со </w:t>
      </w:r>
      <w:r>
        <w:lastRenderedPageBreak/>
        <w:t xml:space="preserve">светопроемами, составляет для первого, второго и третьего рядов - 0,6 </w:t>
      </w:r>
      <w:r>
        <w:t>м для последнего ряда между внутренней продольной стеной и вторым-третьим рядами столов - 0,5-0,7 м. От последних столов до задней стены (перегородки) - не менее 0,65 м</w:t>
      </w:r>
      <w:hyperlink w:anchor="sub_44" w:history="1">
        <w:r>
          <w:rPr>
            <w:rStyle w:val="a4"/>
          </w:rPr>
          <w:t>*</w:t>
        </w:r>
      </w:hyperlink>
      <w:r>
        <w:t>. В 1 климатическом районе расстояние от стены с окнами до перв</w:t>
      </w:r>
      <w:r>
        <w:t>ого ряда столов составляет не менее 1 м. Расстояние между первыми столами и доской составляет 2,4-2,7 м. Наибольшая удаленность последнего места от учебной доски - 8,6 м.</w:t>
      </w:r>
    </w:p>
    <w:p w:rsidR="00000000" w:rsidRDefault="002B6AF7">
      <w:bookmarkStart w:id="61" w:name="sub_2234"/>
      <w:bookmarkEnd w:id="60"/>
      <w:r>
        <w:t>2.2.3.4. В кабинетах квадратной или поперечной конфигурации учебные с</w:t>
      </w:r>
      <w:r>
        <w:t>толы ставят в 3-4 ряда, при этом расстояние от первых столов до классной доски составляет не менее 3,0 м.</w:t>
      </w:r>
    </w:p>
    <w:p w:rsidR="00000000" w:rsidRDefault="002B6AF7">
      <w:bookmarkStart w:id="62" w:name="sub_2235"/>
      <w:bookmarkEnd w:id="61"/>
      <w:r>
        <w:t>2.2.3.5. В лабораториях столы ставят в два ряда. Расстояние между рядами столов составляет 1,0 м, а в кабинетах черчения и рисования -</w:t>
      </w:r>
      <w:r>
        <w:t xml:space="preserve"> 0,7 м.</w:t>
      </w:r>
    </w:p>
    <w:p w:rsidR="00000000" w:rsidRDefault="002B6AF7">
      <w:bookmarkStart w:id="63" w:name="sub_2236"/>
      <w:bookmarkEnd w:id="62"/>
      <w:r>
        <w:t>2.2.3.6. Оборудование в мастерских расставляют перпендикулярно или под углом 30-45° к светонесущей стене (при расстоянии между рядами станков 1,2 м, а между станками в рядах - не менее 0,8 м.).</w:t>
      </w:r>
    </w:p>
    <w:p w:rsidR="00000000" w:rsidRDefault="002B6AF7">
      <w:bookmarkStart w:id="64" w:name="sub_2237"/>
      <w:bookmarkEnd w:id="63"/>
      <w:r>
        <w:t>2.2.3.7. Рабочие места в общетеоретических, общетехнических и специальных кабинетах и лабораториях оборудуют двухместными ученическими столами; в кабинетах черчения и кабинетах, оборудованных видеодисплейными терминалами и персональными электронно-вычислит</w:t>
      </w:r>
      <w:r>
        <w:t>ельными машинами (ПЭВМ), - одноместными.</w:t>
      </w:r>
    </w:p>
    <w:p w:rsidR="00000000" w:rsidRDefault="002B6AF7">
      <w:bookmarkStart w:id="65" w:name="sub_2238"/>
      <w:bookmarkEnd w:id="64"/>
      <w:r>
        <w:t>2.2.3.8. Рабочее место преподавателя оборудуют столом и стулом. В зависимости от назначения учебного помещения зона преподавателя оборудуется столами в соответствии с требованиями к столам для учител</w:t>
      </w:r>
      <w:r>
        <w:t>я, столам демонстрационным с пультом управления и без него.</w:t>
      </w:r>
    </w:p>
    <w:p w:rsidR="00000000" w:rsidRDefault="002B6AF7">
      <w:bookmarkStart w:id="66" w:name="sub_2239"/>
      <w:bookmarkEnd w:id="65"/>
      <w:r>
        <w:t>2.2.3.9. В лабораториях, кабинетах спецтехнологии столы преподавателя устанавливаются на подиуме высотой 15-30 см.</w:t>
      </w:r>
    </w:p>
    <w:p w:rsidR="00000000" w:rsidRDefault="002B6AF7">
      <w:bookmarkStart w:id="67" w:name="sub_22310"/>
      <w:bookmarkEnd w:id="66"/>
      <w:r>
        <w:t>2.2.3.10. В учебном процессе следует использоват</w:t>
      </w:r>
      <w:r>
        <w:t>ь стационарные и мобильные технические средства обучения (ТСО). Мобильные ТСО следует устанавливать на переносные и складные или передвижные подставки согласно требованиям к подставкам для технических средств обучения.</w:t>
      </w:r>
    </w:p>
    <w:p w:rsidR="00000000" w:rsidRDefault="002B6AF7">
      <w:bookmarkStart w:id="68" w:name="sub_22311"/>
      <w:bookmarkEnd w:id="67"/>
      <w:r>
        <w:t>2.2.3.11. Тренажерн</w:t>
      </w:r>
      <w:r>
        <w:t>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 и др.), размещают в отдельных помещениях или комплексах тренажерных кабинетов.</w:t>
      </w:r>
    </w:p>
    <w:p w:rsidR="00000000" w:rsidRDefault="002B6AF7">
      <w:bookmarkStart w:id="69" w:name="sub_22312"/>
      <w:bookmarkEnd w:id="68"/>
      <w:r>
        <w:t>2.2.3.12. Кабинеты иностранного языка оборудуют лингафонными рецептивными (прослушивание учащимися с помощью головных телефонов) и рецептивно-репродуктивными (прослушивание с последующим воспроизведением) установками.</w:t>
      </w:r>
    </w:p>
    <w:p w:rsidR="00000000" w:rsidRDefault="002B6AF7">
      <w:bookmarkStart w:id="70" w:name="sub_22313"/>
      <w:bookmarkEnd w:id="69"/>
      <w:r>
        <w:t>2.2.3.13. Линг</w:t>
      </w:r>
      <w:r>
        <w:t>афонные кабинеты оборудуют полукабинами. Стол преподавателя имеет пульт управления. Лингафонный кабинет оборудуют современными аудиосредствами.</w:t>
      </w:r>
    </w:p>
    <w:p w:rsidR="00000000" w:rsidRDefault="002B6AF7">
      <w:bookmarkStart w:id="71" w:name="sub_22314"/>
      <w:bookmarkEnd w:id="70"/>
      <w:r>
        <w:t>2.2.3.14. Лаборатории химии оборудуют вытяжными шкафами в соответствии с требованиями к шкафам</w:t>
      </w:r>
      <w:r>
        <w:t xml:space="preserve"> демонстрационным и лабораторным вытяжным.</w:t>
      </w:r>
    </w:p>
    <w:p w:rsidR="00000000" w:rsidRDefault="002B6AF7">
      <w:bookmarkStart w:id="72" w:name="sub_22315"/>
      <w:bookmarkEnd w:id="71"/>
      <w:r>
        <w:t>2.2.3.15. При отсутствии встроенных шкафов учебные пособия хранят в пристенных шкафах оборудованных согласно ГОСТу о шкафах для учебных пособий. Пристенные шкафы следует располагать в лаборантско</w:t>
      </w:r>
      <w:r>
        <w:t>й или в учебном помещении.</w:t>
      </w:r>
    </w:p>
    <w:p w:rsidR="00000000" w:rsidRDefault="002B6AF7">
      <w:bookmarkStart w:id="73" w:name="sub_22316"/>
      <w:bookmarkEnd w:id="72"/>
      <w:r>
        <w:t>2.2.3.16. Учебным мастерским следует иметь площадь, объем и оборудование, соответствующие технологическим процессам и обеспечивающие создание оптимальных условий учебно-производственной деятельности подростков.</w:t>
      </w:r>
    </w:p>
    <w:p w:rsidR="00000000" w:rsidRDefault="002B6AF7">
      <w:bookmarkStart w:id="74" w:name="sub_22317"/>
      <w:bookmarkEnd w:id="73"/>
      <w:r>
        <w:t>2.2.3.17. Все оборудование, в том числе и механической обработки, являющееся источником пылегазовыделений, обязательно оснащают местной вытяжной вентиляцией.</w:t>
      </w:r>
    </w:p>
    <w:p w:rsidR="00000000" w:rsidRDefault="002B6AF7">
      <w:bookmarkStart w:id="75" w:name="sub_22318"/>
      <w:bookmarkEnd w:id="74"/>
      <w:r>
        <w:t>2.2.3.18. Каждую мастерскую оборудуют шкафами для хранения спе</w:t>
      </w:r>
      <w:r>
        <w:t>цодежды и умывальниками с подачей горячей и холодной воды (не менее 2-х умывальников на мастерскую). Размеры шкафов и их количество следует принимать в соответствии с требованиями, предъявляемыми к административным и бытовым зданиям.</w:t>
      </w:r>
    </w:p>
    <w:p w:rsidR="00000000" w:rsidRDefault="002B6AF7">
      <w:bookmarkStart w:id="76" w:name="sub_22319"/>
      <w:bookmarkEnd w:id="75"/>
      <w:r>
        <w:t>2.2.</w:t>
      </w:r>
      <w:r>
        <w:t xml:space="preserve">3.19. При отдельно стоящем здании мастерских предусматривают гардеробную для верхней одежды, душевые, умывальные, туалеты, устройства для питьевого водоснабжения, а при </w:t>
      </w:r>
      <w:r>
        <w:lastRenderedPageBreak/>
        <w:t>необходимости - помещение для выдачи спецодежды и индивидуальных средств защиты. Площад</w:t>
      </w:r>
      <w:r>
        <w:t>ь гардеробных, помещений для хранения спецодежды, душевых и туалетов принимают в соответствии с требованиями, предъявляемыми к административным и бытовым зданиям.</w:t>
      </w:r>
    </w:p>
    <w:p w:rsidR="00000000" w:rsidRDefault="002B6AF7">
      <w:bookmarkStart w:id="77" w:name="sub_22320"/>
      <w:bookmarkEnd w:id="76"/>
      <w:r>
        <w:t>2.2.3.20. Многопостовые сварочные агрегаты устанавливают только в отдельном</w:t>
      </w:r>
      <w:r>
        <w:t xml:space="preserve"> помещении, изолированном от других учебных помещений.</w:t>
      </w:r>
    </w:p>
    <w:p w:rsidR="00000000" w:rsidRDefault="002B6AF7">
      <w:bookmarkStart w:id="78" w:name="sub_22321"/>
      <w:bookmarkEnd w:id="77"/>
      <w:r>
        <w:t>2.2.3.21. Рабочие места для газовой сварки располагают в изолированных кабинах, оборудованных сварочным столом, стулом и емкостью с водой для охлаждения горелки.</w:t>
      </w:r>
    </w:p>
    <w:p w:rsidR="00000000" w:rsidRDefault="002B6AF7">
      <w:bookmarkStart w:id="79" w:name="sub_22322"/>
      <w:bookmarkEnd w:id="78"/>
      <w:r>
        <w:t>2.2</w:t>
      </w:r>
      <w:r>
        <w:t>.3.22. Электромонтажные мастерские, в которых проводится пайка, оборудуют столами, имеющими металлическое покрытие размером не менее 300х300 мм, приспособлениями для размещения и закрепления элементов и узлов пайки.</w:t>
      </w:r>
    </w:p>
    <w:bookmarkEnd w:id="79"/>
    <w:p w:rsidR="00000000" w:rsidRDefault="002B6AF7"/>
    <w:p w:rsidR="00000000" w:rsidRDefault="002B6AF7">
      <w:pPr>
        <w:pStyle w:val="1"/>
      </w:pPr>
      <w:bookmarkStart w:id="80" w:name="sub_224"/>
      <w:r>
        <w:t>2.2.4. Помещения общего</w:t>
      </w:r>
      <w:r>
        <w:t xml:space="preserve"> и специального назначения</w:t>
      </w:r>
    </w:p>
    <w:bookmarkEnd w:id="80"/>
    <w:p w:rsidR="00000000" w:rsidRDefault="002B6AF7"/>
    <w:p w:rsidR="00000000" w:rsidRDefault="002B6AF7">
      <w:bookmarkStart w:id="81" w:name="sub_2241"/>
      <w:r>
        <w:t>2.2.4.1. Актовый зал в учреждениях НПО рассчитывают на одновременное пребывание не менее 60% общего количества обучающихся.</w:t>
      </w:r>
    </w:p>
    <w:p w:rsidR="00000000" w:rsidRDefault="002B6AF7">
      <w:bookmarkStart w:id="82" w:name="sub_2242"/>
      <w:bookmarkEnd w:id="81"/>
      <w:r>
        <w:t>2.2.4.2. Площадь актового зала следует принимать из расчета не менее 0,65</w:t>
      </w:r>
      <w:r>
        <w:t xml:space="preserve"> м2 на 1 место.</w:t>
      </w:r>
    </w:p>
    <w:p w:rsidR="00000000" w:rsidRDefault="002B6AF7">
      <w:bookmarkStart w:id="83" w:name="sub_2243"/>
      <w:bookmarkEnd w:id="82"/>
      <w:r>
        <w:t>2.2.4.3. Учебно-спортивные залы следует размещать на первом этаже. Количество и типы спортивных залов предусматривают в зависимости от вида учреждения, его вместимости. Площади спортивных залов приняты 9х18 м, 12х24 м, 18х30</w:t>
      </w:r>
      <w:r>
        <w:t xml:space="preserve"> м при высоте не менее 6 м.</w:t>
      </w:r>
    </w:p>
    <w:p w:rsidR="00000000" w:rsidRDefault="002B6AF7">
      <w:bookmarkStart w:id="84" w:name="sub_2244"/>
      <w:bookmarkEnd w:id="83"/>
      <w:r>
        <w:t>2.2.4.4. При залах предусматривают снарядные, кабинет инструктора физического воспитания, бытовые помещения: раздевальные мужские и женские площадью не менее 10,5 м2 каждая; раздельные душевые площадью по 9 м2 ка</w:t>
      </w:r>
      <w:r>
        <w:t>ждая; уборные площадью по 8 м2. Вход в спортивный зал из гардеробных (раздевальных) следует предусматривать непосредственно или через обособленный коридор.</w:t>
      </w:r>
    </w:p>
    <w:p w:rsidR="00000000" w:rsidRDefault="002B6AF7">
      <w:bookmarkStart w:id="85" w:name="sub_2245"/>
      <w:bookmarkEnd w:id="84"/>
      <w:r>
        <w:t xml:space="preserve">2.2.4.5. Устройство и планировочное решение бассейна должны отвечать </w:t>
      </w:r>
      <w:hyperlink r:id="rId16" w:history="1">
        <w:r>
          <w:rPr>
            <w:rStyle w:val="a4"/>
          </w:rPr>
          <w:t>гигиеническим требованиям</w:t>
        </w:r>
      </w:hyperlink>
      <w:r>
        <w:t xml:space="preserve"> к устройству, эксплуатации и качеству воды плавательных бассейнов.</w:t>
      </w:r>
    </w:p>
    <w:p w:rsidR="00000000" w:rsidRDefault="002B6AF7">
      <w:bookmarkStart w:id="86" w:name="sub_2246"/>
      <w:bookmarkEnd w:id="85"/>
      <w:r>
        <w:t>2.2.4.6. Помещения библиотеки состоят из читального зала и книгохранилища. Общую площадь библиот</w:t>
      </w:r>
      <w:r>
        <w:t>еки следует принимать из расчета 0,6 м2 на 1 обучающегося.</w:t>
      </w:r>
    </w:p>
    <w:p w:rsidR="00000000" w:rsidRDefault="002B6AF7">
      <w:bookmarkStart w:id="87" w:name="sub_2247"/>
      <w:bookmarkEnd w:id="86"/>
      <w:r>
        <w:t>2.2.4.7. Площадь хранения библиотечных фондов открытого хранения составляет не менее 4,5 м2 на 1 тыс. единиц хранения.</w:t>
      </w:r>
    </w:p>
    <w:p w:rsidR="00000000" w:rsidRDefault="002B6AF7">
      <w:bookmarkStart w:id="88" w:name="sub_2248"/>
      <w:bookmarkEnd w:id="87"/>
      <w:r>
        <w:t>2.2.4.8. Медицинский пункт учреждения включает</w:t>
      </w:r>
      <w:r>
        <w:t>:</w:t>
      </w:r>
    </w:p>
    <w:bookmarkEnd w:id="88"/>
    <w:p w:rsidR="00000000" w:rsidRDefault="002B6AF7">
      <w:r>
        <w:t>- кабинет врача площадью не менее 21 м2, (длина кабинета - не менее 7 м для возможности определения остроты зрения и слуха);</w:t>
      </w:r>
    </w:p>
    <w:p w:rsidR="00000000" w:rsidRDefault="002B6AF7">
      <w:r>
        <w:t>- процедурный кабинет площадью не менее 12 м2;</w:t>
      </w:r>
    </w:p>
    <w:p w:rsidR="00000000" w:rsidRDefault="002B6AF7">
      <w:r>
        <w:t>- кабинет зубного врача площадью 12 м2.</w:t>
      </w:r>
    </w:p>
    <w:p w:rsidR="00000000" w:rsidRDefault="002B6AF7">
      <w:r>
        <w:t>При медицинском пункте должен быть туалет на 1 унитаз с умывальником в шлюзе.</w:t>
      </w:r>
    </w:p>
    <w:p w:rsidR="00000000" w:rsidRDefault="002B6AF7">
      <w:bookmarkStart w:id="89" w:name="sub_2249"/>
      <w:r>
        <w:t>2.2.4.9. В служебно-бытовые помещения входят гардеробные, бельевая, санитарно-гигиенические помещения и комната отдыха персонала столовой.</w:t>
      </w:r>
    </w:p>
    <w:p w:rsidR="00000000" w:rsidRDefault="002B6AF7">
      <w:bookmarkStart w:id="90" w:name="sub_22410"/>
      <w:bookmarkEnd w:id="89"/>
      <w:r>
        <w:t>2.2.4.10. В зд</w:t>
      </w:r>
      <w:r>
        <w:t>ании учебного корпуса предусматривают уборные и умывальные для обучающихся на каждом этаже и по отдельным блокам здания.</w:t>
      </w:r>
    </w:p>
    <w:p w:rsidR="00000000" w:rsidRDefault="002B6AF7">
      <w:bookmarkStart w:id="91" w:name="sub_22411"/>
      <w:bookmarkEnd w:id="90"/>
      <w:r>
        <w:t xml:space="preserve">2.2.4.11. На каждом этаже размещают санитарные узлы для подростков обоего пола, оборудованные кабинами с дверями без </w:t>
      </w:r>
      <w:r>
        <w:t>запоров. Количество санитарных приборов устанавливается из расчета: 1 унитаз на 20 девушек, 1 умывальник на 30 девушек; 1 унитаз, 0,5 лоткового писсуара и 1 умывальник на 30 юношей. Для девушек организуют комнаты личной гигиены из расчета 1 кабина на 70 че</w:t>
      </w:r>
      <w:r>
        <w:t>ловек площадью не менее 3 м2.</w:t>
      </w:r>
    </w:p>
    <w:p w:rsidR="00000000" w:rsidRDefault="002B6AF7">
      <w:bookmarkStart w:id="92" w:name="sub_22412"/>
      <w:bookmarkEnd w:id="91"/>
      <w:r>
        <w:t xml:space="preserve">2.2.4.12. Для персонала на каждом этаже устанавливают санитарный узел, оборудованный 1 унитазом и 1 умывальником (с чередованием по этажам для мужчин и женщин). Для обработки и хранения уборочного инвентаря, </w:t>
      </w:r>
      <w:r>
        <w:t xml:space="preserve">приготовления моющих и дезинфицирующих средств на каждом этаже учебного корпуса предусматриваются помещения, оборудованные поддоном, подводкой </w:t>
      </w:r>
      <w:r>
        <w:lastRenderedPageBreak/>
        <w:t xml:space="preserve">холодной и горячей воды, естественной вытяжной вентиляцией, стены облицовываются глазурованной плиткой на высоту </w:t>
      </w:r>
      <w:r>
        <w:t>1,5 метра.</w:t>
      </w:r>
    </w:p>
    <w:p w:rsidR="00000000" w:rsidRDefault="002B6AF7">
      <w:bookmarkStart w:id="93" w:name="sub_22413"/>
      <w:bookmarkEnd w:id="92"/>
      <w:r>
        <w:t>2.2.4.13. Общежития учреждений НПО должны соответствовать требованиям, предъявляемым к устройству, оборудованию и содержанию общежитий для рабочих, студентов, учащихся средних специальных заведений и профессионально-технических</w:t>
      </w:r>
      <w:r>
        <w:t xml:space="preserve"> училищ.</w:t>
      </w:r>
    </w:p>
    <w:p w:rsidR="00000000" w:rsidRDefault="002B6AF7">
      <w:bookmarkStart w:id="94" w:name="sub_225"/>
      <w:bookmarkEnd w:id="93"/>
      <w:r>
        <w:t xml:space="preserve">2.2.5. </w:t>
      </w:r>
      <w:hyperlink r:id="rId17" w:history="1">
        <w:r>
          <w:rPr>
            <w:rStyle w:val="a4"/>
          </w:rPr>
          <w:t>Утратил силу</w:t>
        </w:r>
      </w:hyperlink>
      <w:r>
        <w:t>.</w:t>
      </w:r>
    </w:p>
    <w:bookmarkEnd w:id="94"/>
    <w:p w:rsidR="00000000" w:rsidRDefault="002B6AF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B6AF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8" w:history="1">
        <w:r>
          <w:rPr>
            <w:rStyle w:val="a4"/>
            <w:shd w:val="clear" w:color="auto" w:fill="F0F0F0"/>
          </w:rPr>
          <w:t>пункта 2.2.5</w:t>
        </w:r>
      </w:hyperlink>
    </w:p>
    <w:p w:rsidR="00000000" w:rsidRDefault="002B6AF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6AF7">
      <w:pPr>
        <w:pStyle w:val="1"/>
      </w:pPr>
      <w:bookmarkStart w:id="95" w:name="sub_1223"/>
      <w:r>
        <w:t>2.3. Требования к водоснабжению и канализации</w:t>
      </w:r>
    </w:p>
    <w:bookmarkEnd w:id="95"/>
    <w:p w:rsidR="00000000" w:rsidRDefault="002B6AF7"/>
    <w:p w:rsidR="00000000" w:rsidRDefault="002B6AF7">
      <w:bookmarkStart w:id="96" w:name="sub_231"/>
      <w:r>
        <w:t>2.3.1. Здание учебного заведения должно быть оборудовано водопроводом, горячим водоснабжением и канализацией.</w:t>
      </w:r>
    </w:p>
    <w:p w:rsidR="00000000" w:rsidRDefault="002B6AF7">
      <w:bookmarkStart w:id="97" w:name="sub_232"/>
      <w:bookmarkEnd w:id="96"/>
      <w:r>
        <w:t>2.3.2. Водоснабжение и канализация должны быть централизованными.</w:t>
      </w:r>
    </w:p>
    <w:p w:rsidR="00000000" w:rsidRDefault="002B6AF7">
      <w:bookmarkStart w:id="98" w:name="sub_233"/>
      <w:bookmarkEnd w:id="97"/>
      <w:r>
        <w:t>2.3.3. Учреждения должны быть обеспечены доброкачественной водой, отвечающей санитарным требованиям.</w:t>
      </w:r>
    </w:p>
    <w:p w:rsidR="00000000" w:rsidRDefault="002B6AF7">
      <w:bookmarkStart w:id="99" w:name="sub_234"/>
      <w:bookmarkEnd w:id="98"/>
      <w:r>
        <w:t>2.3.4. Использование фильтров для очистки питьевой воды должно быть согласовано с местными центрами госсанэпиднадзора.</w:t>
      </w:r>
    </w:p>
    <w:p w:rsidR="00000000" w:rsidRDefault="002B6AF7">
      <w:bookmarkStart w:id="100" w:name="sub_235"/>
      <w:bookmarkEnd w:id="99"/>
      <w:r>
        <w:t>2.3.5. Горячим водоснабжением должны быть обеспечены производственные помещения пищеблока, душевые, умывальные, гигиенические кабины для девушек, помещения медицинского кабинета.</w:t>
      </w:r>
    </w:p>
    <w:p w:rsidR="00000000" w:rsidRDefault="002B6AF7">
      <w:bookmarkStart w:id="101" w:name="sub_236"/>
      <w:bookmarkEnd w:id="100"/>
      <w:r>
        <w:t>2.3.6. В неканализованных районах учреждения должны оборудова</w:t>
      </w:r>
      <w:r>
        <w:t>ться внутренней канализацией при условии устройства местных очистных сооружений.</w:t>
      </w:r>
    </w:p>
    <w:bookmarkEnd w:id="101"/>
    <w:p w:rsidR="00000000" w:rsidRDefault="002B6AF7"/>
    <w:p w:rsidR="00000000" w:rsidRDefault="002B6AF7">
      <w:pPr>
        <w:pStyle w:val="1"/>
      </w:pPr>
      <w:bookmarkStart w:id="102" w:name="sub_1224"/>
      <w:r>
        <w:t>2.4. Требования к условиям внутренней среды помещений</w:t>
      </w:r>
    </w:p>
    <w:bookmarkEnd w:id="102"/>
    <w:p w:rsidR="00000000" w:rsidRDefault="002B6AF7"/>
    <w:p w:rsidR="00000000" w:rsidRDefault="002B6AF7">
      <w:pPr>
        <w:pStyle w:val="1"/>
      </w:pPr>
      <w:bookmarkStart w:id="103" w:name="sub_241"/>
      <w:r>
        <w:t>2.4.1. Естественное освещение</w:t>
      </w:r>
    </w:p>
    <w:bookmarkEnd w:id="103"/>
    <w:p w:rsidR="00000000" w:rsidRDefault="002B6AF7"/>
    <w:p w:rsidR="00000000" w:rsidRDefault="002B6AF7">
      <w:bookmarkStart w:id="104" w:name="sub_2411"/>
      <w:r>
        <w:t xml:space="preserve">2.4.1.1. Учебные, учебно-производственные, </w:t>
      </w:r>
      <w:r>
        <w:t>рекреационные, жилые и др. помещения с постоянным пребыванием обучающихся имеют естественное освещение.</w:t>
      </w:r>
    </w:p>
    <w:bookmarkEnd w:id="104"/>
    <w:p w:rsidR="00000000" w:rsidRDefault="002B6AF7">
      <w:r>
        <w:t>Без естественного освещения допускается проектировать: снарядные, умывальные, душевые, уборные при гимнастическом зале; душевые и уборные персон</w:t>
      </w:r>
      <w:r>
        <w:t>ала; кладовые и складские помещения (кроме помещений для хранения легковоспламеняющихся жидкостей); радиоузлы; кинофотолаборатории; книгохранилища; бойлерные, насосные водопровода и канализации; камеры вентиляционные и кондиционирования воздуха; узлы управ</w:t>
      </w:r>
      <w:r>
        <w:t>ления и другие помещения для установки и управления инженерным и технологическим оборудованием зданий; помещения для хранения дезсредств.</w:t>
      </w:r>
    </w:p>
    <w:p w:rsidR="00000000" w:rsidRDefault="002B6AF7">
      <w:bookmarkStart w:id="105" w:name="sub_2412"/>
      <w:r>
        <w:t>2.4.1.2. Основной системой естественного освещения учебных помещений является боковое левостороннее. Направлен</w:t>
      </w:r>
      <w:r>
        <w:t>ие основного светового потока не должно быть спереди и сзади от обучающихся. При глубине учебных помещений более 6 метров обязательно устройство правостороннего подсвета.</w:t>
      </w:r>
    </w:p>
    <w:bookmarkEnd w:id="105"/>
    <w:p w:rsidR="00000000" w:rsidRDefault="002B6AF7">
      <w:r>
        <w:t>В учебно-производственных мастерских, актовых и спортивных залах применяют системы освещения (боковое - одно-, двух- и трехстороннее и комбинированное - верхнее и боковое). Выбор системы освещения определяют характером зрительной работы, габаритами помещен</w:t>
      </w:r>
      <w:r>
        <w:t>ия и оборудования, особенностями светового климата и др. Для мастерских с большой глубиной - наилучшими системами следует считать двухстороннее боковое и комбинированное (в одно- и двухэтажных зданиях).</w:t>
      </w:r>
    </w:p>
    <w:p w:rsidR="00000000" w:rsidRDefault="002B6AF7">
      <w:r>
        <w:lastRenderedPageBreak/>
        <w:t>Направленность света от боковых окон на рабочую повер</w:t>
      </w:r>
      <w:r>
        <w:t>хность, как правило, левостороннее. В слесарных и токарных мастерских направление света от боковых окон справа (при этом обеспечивается наименьшее затенение от корпуса тела работающего и громоздкой левой части токарных станков).</w:t>
      </w:r>
    </w:p>
    <w:p w:rsidR="00000000" w:rsidRDefault="002B6AF7">
      <w:bookmarkStart w:id="106" w:name="sub_2413"/>
      <w:r>
        <w:t xml:space="preserve">2.4.1.3. В учебных </w:t>
      </w:r>
      <w:r>
        <w:t>помещениях коэффициент естественного освещения (КЕО) должен быть 1,5% на расстоянии 1 м от стены, противоположной световым проемам, кабинетах технического черчения - 2,0%, в спортивном зале при боковом освещении - 1,0%, при верхнем и комбинированном - 3,0%</w:t>
      </w:r>
      <w:r>
        <w:t>.</w:t>
      </w:r>
    </w:p>
    <w:p w:rsidR="00000000" w:rsidRDefault="002B6AF7">
      <w:bookmarkStart w:id="107" w:name="sub_2414"/>
      <w:bookmarkEnd w:id="106"/>
      <w:r>
        <w:t>2.4.1.4. В учебно-производственных мастерских и рабочих местах обучающихся на предприятиях КЕО обеспечивается в соответствии с характеристикой зрительной работы согласно требованиям, предъявляемым к естественному и искусственному освещени</w:t>
      </w:r>
      <w:r>
        <w:t>ю. В помещениях, специально предназначенных для работы или производственного обучения подростков, нормированное значение КЕО повышается на один разряд и должно быть не менее 1,0%.</w:t>
      </w:r>
    </w:p>
    <w:p w:rsidR="00000000" w:rsidRDefault="002B6AF7">
      <w:bookmarkStart w:id="108" w:name="sub_2415"/>
      <w:bookmarkEnd w:id="107"/>
      <w:r>
        <w:t>2.4.1.5. Неравномерность естественного освещения в учебно-пр</w:t>
      </w:r>
      <w:r>
        <w:t>оизводственных помещениях не должна превышать 3:1 (отношение среднего значения КЕО к наименьшему в пределах характерного разреза помещения). Ориентация окон учебных помещений должна быть на южные, юго-восточные и восточные стороны горизонта. На северные ст</w:t>
      </w:r>
      <w:r>
        <w:t>ороны горизонта могут быть ориентированы окна кабинетов черчения, рисования, а также помещение кухни; ориентация кабинета вычислительной техники - на север, северо-восток.</w:t>
      </w:r>
    </w:p>
    <w:p w:rsidR="00000000" w:rsidRDefault="002B6AF7">
      <w:bookmarkStart w:id="109" w:name="sub_2416"/>
      <w:bookmarkEnd w:id="108"/>
      <w:r>
        <w:t xml:space="preserve">2.4.1.6. Соотношение яркостей в поле зрения не должно превышать 3:1 </w:t>
      </w:r>
      <w:r>
        <w:t>- между тетрадью и поверхностью стола; 10:1 - между тетрадью и стеной; 1:3 - между классной доской и стеной и 20:1 - между световым проемом и стеной.</w:t>
      </w:r>
    </w:p>
    <w:p w:rsidR="00000000" w:rsidRDefault="002B6AF7">
      <w:bookmarkStart w:id="110" w:name="sub_2417"/>
      <w:bookmarkEnd w:id="109"/>
      <w:r>
        <w:t>2.4.1.7. Для окраски и отделки поверхностей интерьера и оборудования учебных помещений и у</w:t>
      </w:r>
      <w:r>
        <w:t>чебно-производственных мастерских следует использовать диффузно-отражающие материалы светлой гаммы цветов: потолок и верхнюю часть стен, двери и оконные рамы окрашивают в белый цвет, стены - в светло-желтые, светло-голубые, светло-розовые, бежевые, светло-</w:t>
      </w:r>
      <w:r>
        <w:t>зеленые цвета с коэффициентом отражения не менее 0,6-0,7; столы - в светло-зеленые и цвета натурального дерева с коэффициентом отражения не менее 0,5; классные доски - в темно-коричневые или темно-зеленые цвета с коэффициентом отражения не менее 0,2; пол -</w:t>
      </w:r>
      <w:r>
        <w:t xml:space="preserve"> в светлые тона с коэффициентом отражения 0,4-0,5.</w:t>
      </w:r>
    </w:p>
    <w:p w:rsidR="00000000" w:rsidRDefault="002B6AF7">
      <w:bookmarkStart w:id="111" w:name="sub_2418"/>
      <w:bookmarkEnd w:id="110"/>
      <w:r>
        <w:t>2.4.1.8. В учебных и учебно-производственных помещениях комнатные цветы следует размещать в подвесных кашпо в простенках между окнами или на подставках высотой 65-70 см от пола.</w:t>
      </w:r>
    </w:p>
    <w:p w:rsidR="00000000" w:rsidRDefault="002B6AF7">
      <w:bookmarkStart w:id="112" w:name="sub_2419"/>
      <w:bookmarkEnd w:id="111"/>
      <w:r>
        <w:t>2.4.1.9. Очистку оконных стекол необходимо производить на реже двух раз в год.</w:t>
      </w:r>
    </w:p>
    <w:p w:rsidR="00000000" w:rsidRDefault="002B6AF7">
      <w:bookmarkStart w:id="113" w:name="sub_24110"/>
      <w:bookmarkEnd w:id="112"/>
      <w:r>
        <w:t>2.4.1.10. Искусственное освещение следует включать при снижении уровня естественной освещенности на удаленных от оконных проемов столах ниже 300 лк.</w:t>
      </w:r>
    </w:p>
    <w:p w:rsidR="00000000" w:rsidRDefault="002B6AF7">
      <w:bookmarkStart w:id="114" w:name="sub_24111"/>
      <w:bookmarkEnd w:id="113"/>
      <w:r>
        <w:t>2.4.1.11. Светопроемы учебных помещений оборудуют регулируемыми солнцезащитными устройствами типа жалюзи, тканевыми однотонными шторами светлых тонов, сочетающихся с цветом стен. В нерабочем состоянии шторы необходимо сдвигать в простенки между</w:t>
      </w:r>
      <w:r>
        <w:t xml:space="preserve"> окнами. Шторы из поливинилхлоридной пленки не используют.</w:t>
      </w:r>
    </w:p>
    <w:bookmarkEnd w:id="114"/>
    <w:p w:rsidR="00000000" w:rsidRDefault="002B6AF7"/>
    <w:p w:rsidR="00000000" w:rsidRDefault="002B6AF7">
      <w:pPr>
        <w:pStyle w:val="1"/>
      </w:pPr>
      <w:bookmarkStart w:id="115" w:name="sub_1242"/>
      <w:r>
        <w:t>2.4.2. Искусственное освещение</w:t>
      </w:r>
    </w:p>
    <w:bookmarkEnd w:id="115"/>
    <w:p w:rsidR="00000000" w:rsidRDefault="002B6AF7"/>
    <w:p w:rsidR="00000000" w:rsidRDefault="002B6AF7">
      <w:bookmarkStart w:id="116" w:name="sub_2421"/>
      <w:r>
        <w:t>2.4.2.1. Искусственное освещение учебных, учебно-производственных и вспомогательных помещений должно соответствовать требованиям, п</w:t>
      </w:r>
      <w:r>
        <w:t>редъявляемым к естественному и искусственному освещению. Для учебно-производственных помещений дополнительно используются отраслевые нормы искусственного освещения.</w:t>
      </w:r>
    </w:p>
    <w:bookmarkEnd w:id="116"/>
    <w:p w:rsidR="00000000" w:rsidRDefault="002B6AF7">
      <w:r>
        <w:t>Проектируемые установки внутреннего освещения обеспечивают нормируемые уровни освещ</w:t>
      </w:r>
      <w:r>
        <w:t xml:space="preserve">енности и показатели качества освещения (показатель дискомфорта и коэффициент </w:t>
      </w:r>
      <w:r>
        <w:lastRenderedPageBreak/>
        <w:t>пульсации).</w:t>
      </w:r>
    </w:p>
    <w:p w:rsidR="00000000" w:rsidRDefault="002B6AF7">
      <w:bookmarkStart w:id="117" w:name="sub_2422"/>
      <w:r>
        <w:t>2.4.2.2. В учебных кабинетах, аудиториях, лабораториях уровни освещенности составляют: на рабочих столах - 300-500 лк; на классной доске - 500 лк; в кабинетах</w:t>
      </w:r>
      <w:r>
        <w:t xml:space="preserve"> технического черчения и рисования - 500 лк; в помещениях с ВДТ и ПЭВМ на столах - 300-500 лк; в спортивных залах на полу - 200 лк; в рекреациях на полу - 150 лк.</w:t>
      </w:r>
    </w:p>
    <w:bookmarkEnd w:id="117"/>
    <w:p w:rsidR="00000000" w:rsidRDefault="002B6AF7">
      <w:r>
        <w:t>В кабинетах технических средств обучения при использовании телевидения и графопроекци</w:t>
      </w:r>
      <w:r>
        <w:t>и при необходимости сочетания восприятия информации с экрана с ведением записи освещенность на рабочем столе должна быть не ниже 300 лк.</w:t>
      </w:r>
    </w:p>
    <w:p w:rsidR="00000000" w:rsidRDefault="002B6AF7">
      <w:r>
        <w:t>Освещенность на рабочем столе при диа- и кинопроекции должна быть 500 лк и может быть создана системой "функционального</w:t>
      </w:r>
      <w:r>
        <w:t>" искусственного освещения с "темным коридором" перед экраном или при использовании одного местного освещения.</w:t>
      </w:r>
    </w:p>
    <w:p w:rsidR="00000000" w:rsidRDefault="002B6AF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8" w:name="sub_24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"/>
    <w:p w:rsidR="00000000" w:rsidRDefault="002B6AF7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</w:t>
      </w:r>
      <w:r>
        <w:rPr>
          <w:shd w:val="clear" w:color="auto" w:fill="F0F0F0"/>
        </w:rPr>
        <w:t>нного санитарного врача РФ от 4 марта 2011 г. N 17 в пункт 2.4.2.3 настоящих СанПиН внесены изменения</w:t>
      </w:r>
    </w:p>
    <w:p w:rsidR="00000000" w:rsidRDefault="002B6AF7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B6AF7">
      <w:r>
        <w:t xml:space="preserve">2.4.2.3. Для общего освещения учебных помещений </w:t>
      </w:r>
      <w:r>
        <w:t>(кабинетов, аудиторий, лабораторий) следует использовать люминесцентные светильники: ЛСО02-2х40, ЛПО28-2х40, ЛПО02-2х40, ЛПО46-4х18-005, могут использоваться и другие светильники по типу приведенных с аналогичными светотехническими характеристиками и конст</w:t>
      </w:r>
      <w:r>
        <w:t>руктивным исполнением.</w:t>
      </w:r>
    </w:p>
    <w:p w:rsidR="00000000" w:rsidRDefault="002B6AF7">
      <w:bookmarkStart w:id="119" w:name="sub_2424"/>
      <w:r>
        <w:t xml:space="preserve">2.4.2.4. </w:t>
      </w:r>
      <w:hyperlink r:id="rId21" w:history="1">
        <w:r>
          <w:rPr>
            <w:rStyle w:val="a4"/>
          </w:rPr>
          <w:t>Исключен</w:t>
        </w:r>
      </w:hyperlink>
      <w:r>
        <w:t>.</w:t>
      </w:r>
    </w:p>
    <w:bookmarkEnd w:id="119"/>
    <w:p w:rsidR="00000000" w:rsidRDefault="002B6AF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B6AF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2" w:history="1">
        <w:r>
          <w:rPr>
            <w:rStyle w:val="a4"/>
            <w:shd w:val="clear" w:color="auto" w:fill="F0F0F0"/>
          </w:rPr>
          <w:t>пункта 2.4.2.4</w:t>
        </w:r>
      </w:hyperlink>
    </w:p>
    <w:p w:rsidR="00000000" w:rsidRDefault="002B6AF7">
      <w:bookmarkStart w:id="120" w:name="sub_2425"/>
      <w:r>
        <w:t>2.4.2</w:t>
      </w:r>
      <w:r>
        <w:t>.5. Необходимое количество светильников и их размещение в помещении определяют по светотехническим расчетам с учетом коэффициента запаса в соответствии с требованиями, предъявляемыми к естественному и искусственному освещению.</w:t>
      </w:r>
    </w:p>
    <w:bookmarkEnd w:id="120"/>
    <w:p w:rsidR="00000000" w:rsidRDefault="002B6AF7">
      <w:r>
        <w:t>В учебных кабинетах с</w:t>
      </w:r>
      <w:r>
        <w:t>ветильники с люминесцентными лампами располагают параллельно светонесущей стене на расстоянии 1,2 м от наружной стены и 1,5 м - от внутренней. Классную доску оборудуют софитами и освещают двумя светильниками типа ЛПО-30-40-122(125), расположенными выше вер</w:t>
      </w:r>
      <w:r>
        <w:t>хнего края доски на 0,3 м и на расстоянии 0,6 м перед доской в сторону класса.</w:t>
      </w:r>
    </w:p>
    <w:p w:rsidR="00000000" w:rsidRDefault="002B6AF7">
      <w:r>
        <w:t>Предусматривают раздельное включение светильников или отдельных их групп (с учетом расстановки учебного и технологического оборудования).</w:t>
      </w:r>
    </w:p>
    <w:p w:rsidR="00000000" w:rsidRDefault="002B6AF7">
      <w:bookmarkStart w:id="121" w:name="sub_2426"/>
      <w:r>
        <w:t>2.4.2.6. Рабочее искусственное освещение в учебно-производственных мастерских и на предприятиях проектируют двух систем: общее (равномерное и локализованное) и комбинированное (к общему добавляется местное).</w:t>
      </w:r>
    </w:p>
    <w:p w:rsidR="00000000" w:rsidRDefault="002B6AF7">
      <w:bookmarkStart w:id="122" w:name="sub_2427"/>
      <w:bookmarkEnd w:id="121"/>
      <w:r>
        <w:t>2.4.2.7. При выполнении в помеще</w:t>
      </w:r>
      <w:r>
        <w:t>нии работ I-IV разрядов следует применять систему комбинированного освещения. Освещенность рабочей поверхности, создаваемая светильниками общего освещения в системе комбинированного, должна составлять не менее 10% в соответствии с требованиями, предъявляем</w:t>
      </w:r>
      <w:r>
        <w:t>ыми к естественному и искусственному освещению.</w:t>
      </w:r>
    </w:p>
    <w:bookmarkEnd w:id="122"/>
    <w:p w:rsidR="00000000" w:rsidRDefault="002B6AF7">
      <w:r>
        <w:t>Для общего освещения в системе комбинированного следует использовать преимущественно люминесцентные лампы независимо от типа источника света местного освещения. Для местного освещения следует применят</w:t>
      </w:r>
      <w:r>
        <w:t>ь люминесцентные лампы или лампы накаливания.</w:t>
      </w:r>
    </w:p>
    <w:p w:rsidR="00000000" w:rsidRDefault="002B6AF7"/>
    <w:p w:rsidR="00000000" w:rsidRDefault="002B6AF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3" w:name="sub_24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"/>
    <w:p w:rsidR="00000000" w:rsidRDefault="002B6AF7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30 сентября 2009 г. N 59 пункт 2.4</w:t>
      </w:r>
      <w:r>
        <w:rPr>
          <w:shd w:val="clear" w:color="auto" w:fill="F0F0F0"/>
        </w:rPr>
        <w:t xml:space="preserve">.2.8 настоящих СанПиН изложен в новой редакции, </w:t>
      </w:r>
      <w:hyperlink r:id="rId2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2010 г.</w:t>
      </w:r>
    </w:p>
    <w:p w:rsidR="00000000" w:rsidRDefault="002B6AF7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B6AF7">
      <w:pPr>
        <w:pStyle w:val="a7"/>
        <w:rPr>
          <w:shd w:val="clear" w:color="auto" w:fill="F0F0F0"/>
        </w:rPr>
      </w:pPr>
      <w:r>
        <w:lastRenderedPageBreak/>
        <w:t xml:space="preserve"> </w:t>
      </w:r>
    </w:p>
    <w:p w:rsidR="00000000" w:rsidRDefault="002B6AF7">
      <w:r>
        <w:t>2.4.2.8. Уровни освещенности при разных видах работ, выполняемых при производственном обучении подростков, должны соответствовать требованиям, предъявляемым к определенным классам выполняемых работ. Для оптимальных условий выполнения отдельных видов работ</w:t>
      </w:r>
      <w:r>
        <w:t xml:space="preserve"> рекомендуются уровни освещенности, представленные в </w:t>
      </w:r>
      <w:hyperlink w:anchor="sub_2100" w:history="1">
        <w:r>
          <w:rPr>
            <w:rStyle w:val="a4"/>
          </w:rPr>
          <w:t>Приложении 1.</w:t>
        </w:r>
      </w:hyperlink>
      <w:r>
        <w:t xml:space="preserve"> настоящих санитарных правил.</w:t>
      </w:r>
    </w:p>
    <w:p w:rsidR="00000000" w:rsidRDefault="002B6AF7">
      <w:bookmarkStart w:id="124" w:name="sub_2429"/>
      <w:r>
        <w:t xml:space="preserve">2.4.2.9. Выбор источника света следует производить с учетом характеристики зрительной работы, уровня освещенности, требований </w:t>
      </w:r>
      <w:r>
        <w:t>к цветоразличению в соответствии с требованиями, предъявляемыми к естественному и искусственному освещению.</w:t>
      </w:r>
    </w:p>
    <w:p w:rsidR="00000000" w:rsidRDefault="002B6AF7">
      <w:bookmarkStart w:id="125" w:name="sub_24210"/>
      <w:bookmarkEnd w:id="124"/>
      <w:r>
        <w:t>2.4.2.10. Для общего и местного освещения производственных помещений со специфическими условиями среды (пыльные, влажные, взрывоопа</w:t>
      </w:r>
      <w:r>
        <w:t>сные, пожароопасные и др.) применяют светильники в соответствии с их назначением и светотехническими характеристиками.</w:t>
      </w:r>
    </w:p>
    <w:p w:rsidR="00000000" w:rsidRDefault="002B6AF7">
      <w:bookmarkStart w:id="126" w:name="sub_24211"/>
      <w:bookmarkEnd w:id="125"/>
      <w:r>
        <w:t>2.4.2.11. Неравномерность освещения (отношение максимальной освещенности к минимальной) не должна превышать 1,3 для раб</w:t>
      </w:r>
      <w:r>
        <w:t>от I-III разрядов при люминесцентных лампах; при других источниках света - 1,5; для работ IV-VII разрядов - 1,5-2,0 соответственно. Для производственных помещений, в которых выполняются работы I-IV разрядов, следует предусматривать ограничение отраженной б</w:t>
      </w:r>
      <w:r>
        <w:t>лескости.</w:t>
      </w:r>
    </w:p>
    <w:p w:rsidR="00000000" w:rsidRDefault="002B6AF7">
      <w:bookmarkStart w:id="127" w:name="sub_24212"/>
      <w:bookmarkEnd w:id="126"/>
      <w:r>
        <w:t>2.4.2.12. Очистку от пыли светильников общего освещения следует производить не реже 2-х раз в год; замену перегоревших ламп - по мере выхода из строя. К этой работе обучающиеся не привлекаются. Неисправные и перегоревшие люминес</w:t>
      </w:r>
      <w:r>
        <w:t>центные лампы собирают и хранят до сдачи в местах, недоступных для обучающихся.</w:t>
      </w:r>
    </w:p>
    <w:bookmarkEnd w:id="127"/>
    <w:p w:rsidR="00000000" w:rsidRDefault="002B6AF7"/>
    <w:p w:rsidR="00000000" w:rsidRDefault="002B6AF7">
      <w:pPr>
        <w:pStyle w:val="1"/>
      </w:pPr>
      <w:bookmarkStart w:id="128" w:name="sub_1243"/>
      <w:r>
        <w:t>2.4.3. Требования к воздушно-тепловому режиму</w:t>
      </w:r>
    </w:p>
    <w:bookmarkEnd w:id="128"/>
    <w:p w:rsidR="00000000" w:rsidRDefault="002B6AF7"/>
    <w:p w:rsidR="00000000" w:rsidRDefault="002B6AF7">
      <w:bookmarkStart w:id="129" w:name="sub_2431"/>
      <w:r>
        <w:t>2.4.3.1. Отопление, вентиляцию, кондиционирование воздуха в учреждениях НПО следует предусматри</w:t>
      </w:r>
      <w:r>
        <w:t>вать в соответствии с требованиями, предъявляемыми к общественным зданиям и сооружениям.</w:t>
      </w:r>
    </w:p>
    <w:p w:rsidR="00000000" w:rsidRDefault="002B6AF7">
      <w:bookmarkStart w:id="130" w:name="sub_2432"/>
      <w:bookmarkEnd w:id="129"/>
      <w:r>
        <w:t>2.4.3.2. Удаление воздуха из классов и кабинетов проводится через систему вытяжной вентиляции с естественным побуждением. Через открытые форточки (фрам</w:t>
      </w:r>
      <w:r>
        <w:t>уги, створки окон) осуществляется проветривание учебного помещения перед занятиями, в каждую перемену, после уроков, а также по окончании учебных занятий. Наибольшая эффективность достигается сквозным проветриванием. Длительность сквозного проветривания оп</w:t>
      </w:r>
      <w:r>
        <w:t>ределяют погодными условиями. Во время учебных занятий проветриваются рекреационные помещения.</w:t>
      </w:r>
    </w:p>
    <w:p w:rsidR="00000000" w:rsidRDefault="002B6AF7">
      <w:bookmarkStart w:id="131" w:name="sub_2433"/>
      <w:bookmarkEnd w:id="130"/>
      <w:r>
        <w:t xml:space="preserve">2.4.3.3. Площадь фрамуг и форточек в учебных помещениях составляет не менее 1/50 площади пола. Фрамуги и форточки должны функционировать в любое </w:t>
      </w:r>
      <w:r>
        <w:t>время года.</w:t>
      </w:r>
    </w:p>
    <w:p w:rsidR="00000000" w:rsidRDefault="002B6AF7">
      <w:bookmarkStart w:id="132" w:name="sub_2434"/>
      <w:bookmarkEnd w:id="131"/>
      <w:r>
        <w:t>2.4.3.4. Подачу приточного воздуха в производственные помещения пищеблока следует предусматривать через обеденный зал. Объем подаваемого воздуха должен составлять не менее 20 м3/час на одно место в обеденном зале.</w:t>
      </w:r>
    </w:p>
    <w:p w:rsidR="00000000" w:rsidRDefault="002B6AF7">
      <w:bookmarkStart w:id="133" w:name="sub_2435"/>
      <w:bookmarkEnd w:id="132"/>
      <w:r>
        <w:t>2.4.3.5. Механическая вытяжная вентиляция предусматривается для следующих групп помещений: учебных кабинетов, лабораторий, актовых залов, бассейнов, столовой, медпункта, гардеробной, киноаппаратной, санитарных узлов, помещений для обработки и хранения уб</w:t>
      </w:r>
      <w:r>
        <w:t>орочного инвентаря.</w:t>
      </w:r>
    </w:p>
    <w:p w:rsidR="00000000" w:rsidRDefault="002B6AF7">
      <w:bookmarkStart w:id="134" w:name="sub_2436"/>
      <w:bookmarkEnd w:id="133"/>
      <w:r>
        <w:t>2.4.3.6. В лабораториях, учебно-производственных мастерских,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</w:t>
      </w:r>
      <w:r>
        <w:t>а, оборудуется общая и местная механическая вентиляция, обеспечивающая параметры факторов и уровень содержания веществ в пределах, не превышающих установленные гигиенические нормативы.</w:t>
      </w:r>
    </w:p>
    <w:p w:rsidR="00000000" w:rsidRDefault="002B6AF7">
      <w:bookmarkStart w:id="135" w:name="sub_2437"/>
      <w:bookmarkEnd w:id="134"/>
      <w:r>
        <w:t>2.4.3.7. В сварочных мастерских рабочие столы оборудуют</w:t>
      </w:r>
      <w:r>
        <w:t xml:space="preserve"> местными отсосами со всасыванием воздуха в габаритном сечении со скоростью 5-6 м/с. Удаление воздуха должно </w:t>
      </w:r>
      <w:r>
        <w:lastRenderedPageBreak/>
        <w:t>компенсироваться притоком воздуха в полном объеме. Приток воздуха должен осуществляться рассредоточено.</w:t>
      </w:r>
    </w:p>
    <w:p w:rsidR="00000000" w:rsidRDefault="002B6AF7">
      <w:bookmarkStart w:id="136" w:name="sub_2438"/>
      <w:bookmarkEnd w:id="135"/>
      <w:r>
        <w:t xml:space="preserve">2.4.3.8. При электросварке </w:t>
      </w:r>
      <w:r>
        <w:t>на нефиксированных рабочих местах помещение оборудуют общеобменной приточно-вытяжной вентиляцией из расчета воздухообмена по наиболее токсичному компоненту в зависимости от применяемых электродов.</w:t>
      </w:r>
    </w:p>
    <w:p w:rsidR="00000000" w:rsidRDefault="002B6AF7">
      <w:bookmarkStart w:id="137" w:name="sub_2439"/>
      <w:bookmarkEnd w:id="136"/>
      <w:r>
        <w:t>2.4.3.9. Электромонтажные столы оборудуют м</w:t>
      </w:r>
      <w:r>
        <w:t>естными отсосами на поворотном шарнирном соединении со скоростью в габаритном сечении 5-6 м/с.</w:t>
      </w:r>
    </w:p>
    <w:p w:rsidR="00000000" w:rsidRDefault="002B6AF7">
      <w:bookmarkStart w:id="138" w:name="sub_24310"/>
      <w:bookmarkEnd w:id="137"/>
      <w:r>
        <w:t>2.4.3.10. Резку металла осуществляют на раскроечном столе, имеющем вытяжку снизу из-под решетки из расчета 0,7 м/с с открытой поверхности стола.</w:t>
      </w:r>
    </w:p>
    <w:p w:rsidR="00000000" w:rsidRDefault="002B6AF7">
      <w:bookmarkStart w:id="139" w:name="sub_24311"/>
      <w:bookmarkEnd w:id="138"/>
      <w:r>
        <w:t>2.4.3.11. Помещения монтажных мастерских оборудуют общеобменной приточно-вытяжной вентиляцией с кратностью воздухообмена, рассчитанной на количество поступающих вредностей (пыль, газ и тепло).</w:t>
      </w:r>
    </w:p>
    <w:p w:rsidR="00000000" w:rsidRDefault="002B6AF7">
      <w:bookmarkStart w:id="140" w:name="sub_24312"/>
      <w:bookmarkEnd w:id="139"/>
      <w:r>
        <w:t>2.4.3.12. Температура воздуха в учебных кабинетах, лабораториях должна составлять 18-20°С при обычном остеклении, 19-21°С при ленточном остеклении;</w:t>
      </w:r>
    </w:p>
    <w:bookmarkEnd w:id="140"/>
    <w:p w:rsidR="00000000" w:rsidRDefault="002B6AF7">
      <w:r>
        <w:t>- в учебных мастерских - 15-17°С;</w:t>
      </w:r>
    </w:p>
    <w:p w:rsidR="00000000" w:rsidRDefault="002B6AF7">
      <w:r>
        <w:t>- в актовом зале, лекционной аудитории, классе пения и музыки, кл</w:t>
      </w:r>
      <w:r>
        <w:t>убной комнате - 18-20°С;</w:t>
      </w:r>
    </w:p>
    <w:p w:rsidR="00000000" w:rsidRDefault="002B6AF7">
      <w:r>
        <w:t>- в дисплейных классах должна соблюдаться оптимальная температура воздуха в пределах 19-21°С, допустимая 18-22°С, при относительной влажности соответственно 62-55% и 39-31%,</w:t>
      </w:r>
    </w:p>
    <w:p w:rsidR="00000000" w:rsidRDefault="002B6AF7">
      <w:r>
        <w:t xml:space="preserve">- в спортивном зале и комнатах для проведения секционных </w:t>
      </w:r>
      <w:r>
        <w:t>занятий - 15-17°С, в раздевалке при спортивном зале - 19-23°С, в медицинских кабинетах - 21-23°С,</w:t>
      </w:r>
    </w:p>
    <w:p w:rsidR="00000000" w:rsidRDefault="002B6AF7">
      <w:r>
        <w:t>- в библиотеке, в помещениях абонемента, в комнате обработки и комплектования книг - 17-21°С,</w:t>
      </w:r>
    </w:p>
    <w:p w:rsidR="00000000" w:rsidRDefault="002B6AF7">
      <w:r>
        <w:t xml:space="preserve">- в жилых комнатах общежития - 18-20°С, в умывальных - 20-23°С, </w:t>
      </w:r>
      <w:r>
        <w:t>в душевых - не ниже 25°С, в вестибюле и гардеробе - 16-19°С.</w:t>
      </w:r>
    </w:p>
    <w:p w:rsidR="00000000" w:rsidRDefault="002B6AF7">
      <w:bookmarkStart w:id="141" w:name="sub_24313"/>
      <w:r>
        <w:t>2.4.3.13. Величины показателей микроклимата в производственных помещениях, где проходят практику обучающиеся, не должны превышать допустимых параметров в соответствии с гигиеническими тр</w:t>
      </w:r>
      <w:r>
        <w:t>ебованиями к воздуху рабочей зоны. При наличии теплового облучения температура воздуха на рабочих местах обучающихся не должна превышать параметры оптимальных значений для теплого периода года.</w:t>
      </w:r>
    </w:p>
    <w:p w:rsidR="00000000" w:rsidRDefault="002B6AF7">
      <w:bookmarkStart w:id="142" w:name="sub_24314"/>
      <w:bookmarkEnd w:id="141"/>
      <w:r>
        <w:t>2.4.3.14. Производственная практика в услови</w:t>
      </w:r>
      <w:r>
        <w:t xml:space="preserve">ях открытых площадок в холодное время года не должна проводиться при параметрах микроклимата, указанных в </w:t>
      </w:r>
      <w:hyperlink w:anchor="sub_243145" w:history="1">
        <w:r>
          <w:rPr>
            <w:rStyle w:val="a4"/>
          </w:rPr>
          <w:t>табл.5</w:t>
        </w:r>
      </w:hyperlink>
      <w:r>
        <w:t>.</w:t>
      </w:r>
    </w:p>
    <w:bookmarkEnd w:id="142"/>
    <w:p w:rsidR="00000000" w:rsidRDefault="002B6AF7"/>
    <w:p w:rsidR="00000000" w:rsidRDefault="002B6AF7">
      <w:pPr>
        <w:ind w:firstLine="698"/>
        <w:jc w:val="right"/>
      </w:pPr>
      <w:bookmarkStart w:id="143" w:name="sub_243145"/>
      <w:r>
        <w:rPr>
          <w:rStyle w:val="a3"/>
        </w:rPr>
        <w:t>Таблица 5</w:t>
      </w:r>
    </w:p>
    <w:bookmarkEnd w:id="143"/>
    <w:p w:rsidR="00000000" w:rsidRDefault="002B6AF7"/>
    <w:p w:rsidR="00000000" w:rsidRDefault="002B6AF7">
      <w:pPr>
        <w:pStyle w:val="1"/>
      </w:pPr>
      <w:r>
        <w:t>Микроклиматические условия, при которых не проводится производственная</w:t>
      </w:r>
      <w:r>
        <w:br/>
        <w:t>пр</w:t>
      </w:r>
      <w:r>
        <w:t>актика</w:t>
      </w:r>
    </w:p>
    <w:p w:rsidR="00000000" w:rsidRDefault="002B6A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Температура, град. 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Скорость движения воздуха, м/с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-25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2,0-2,5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-20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3,5-4,0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-15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4,5-5,0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-10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6,0-6,5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-5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7,0-7,5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8,0-9,5</w:t>
            </w:r>
          </w:p>
        </w:tc>
      </w:tr>
    </w:tbl>
    <w:p w:rsidR="00000000" w:rsidRDefault="002B6AF7"/>
    <w:p w:rsidR="00000000" w:rsidRDefault="002B6AF7">
      <w:pPr>
        <w:pStyle w:val="1"/>
      </w:pPr>
      <w:bookmarkStart w:id="144" w:name="sub_1244"/>
      <w:r>
        <w:t>2.4.4. Шум и вибрация</w:t>
      </w:r>
    </w:p>
    <w:bookmarkEnd w:id="144"/>
    <w:p w:rsidR="00000000" w:rsidRDefault="002B6AF7"/>
    <w:p w:rsidR="00000000" w:rsidRDefault="002B6AF7">
      <w:bookmarkStart w:id="145" w:name="sub_2441"/>
      <w:r>
        <w:t xml:space="preserve">2.4.4.1. В целях уменьшения влияния шума на обучающихся необходимо применять </w:t>
      </w:r>
      <w:r>
        <w:lastRenderedPageBreak/>
        <w:t>комплекс мероприятий по защите от шума.</w:t>
      </w:r>
    </w:p>
    <w:p w:rsidR="00000000" w:rsidRDefault="002B6AF7">
      <w:bookmarkStart w:id="146" w:name="sub_2442"/>
      <w:bookmarkEnd w:id="145"/>
      <w:r>
        <w:t>2.4.4.2. При согласовании проектов учреждений НПО проектные организации должны представить акустические расчеты по снижению</w:t>
      </w:r>
      <w:r>
        <w:t xml:space="preserve"> шума в учебных помещениях, включая время реверберации (затухания звука).</w:t>
      </w:r>
    </w:p>
    <w:p w:rsidR="00000000" w:rsidRDefault="002B6AF7">
      <w:bookmarkStart w:id="147" w:name="sub_2443"/>
      <w:bookmarkEnd w:id="146"/>
      <w:r>
        <w:t>2.4.4.3. Время реверберации в помещениях для теоретических занятий, мастерских, спортивном зале, столовой не должно превышать 1 секунды. Частотная характеристика врем</w:t>
      </w:r>
      <w:r>
        <w:t>ени реверберации в диапазоне 250 - 400 Гц должна быть ровной, а на частоте 125 Гц спад времени реверберации должен быть не более 15%.</w:t>
      </w:r>
    </w:p>
    <w:p w:rsidR="00000000" w:rsidRDefault="002B6AF7">
      <w:bookmarkStart w:id="148" w:name="sub_2444"/>
      <w:bookmarkEnd w:id="147"/>
      <w:r>
        <w:t>2.4.4.4. Спортивный зал, мастерские следует выделять в отдельный блок или пристройки к учебно-теоретическо</w:t>
      </w:r>
      <w:r>
        <w:t>му корпусу.</w:t>
      </w:r>
    </w:p>
    <w:p w:rsidR="00000000" w:rsidRDefault="002B6AF7">
      <w:bookmarkStart w:id="149" w:name="sub_2445"/>
      <w:bookmarkEnd w:id="148"/>
      <w:r>
        <w:t>2.4.4.5. Учебные кабинеты не проектируют над и под спортивным залом, над и под мастерскими, если процесс производственного обучения сопровождается шумом и вибрацией.</w:t>
      </w:r>
    </w:p>
    <w:p w:rsidR="00000000" w:rsidRDefault="002B6AF7">
      <w:bookmarkStart w:id="150" w:name="sub_2446"/>
      <w:bookmarkEnd w:id="149"/>
      <w:r>
        <w:t>2.4.4.6. Одну мастерскую от другой отделяют сп</w:t>
      </w:r>
      <w:r>
        <w:t>лошной перегородкой с повышенной звукоизолирующей способностью или вспомогательными помещениями (инструментальной, помещением для заготовок и т.п.).</w:t>
      </w:r>
    </w:p>
    <w:p w:rsidR="00000000" w:rsidRDefault="002B6AF7">
      <w:bookmarkStart w:id="151" w:name="sub_2447"/>
      <w:bookmarkEnd w:id="150"/>
      <w:r>
        <w:t>2.4.4.7. В рекреационных помещениях, в спортивном зале, учебных кабинетах, мастерских и дру</w:t>
      </w:r>
      <w:r>
        <w:t>гих помещениях с повышенными уровнями шума потолок следует облицовывать звукопоглощающими материалами (типа акмигран, перфорированной плиткой или перфорированными панелями и др.) с максимальным поглощением звука в диапазоне частот 63-8000 Гц.</w:t>
      </w:r>
    </w:p>
    <w:bookmarkEnd w:id="151"/>
    <w:p w:rsidR="00000000" w:rsidRDefault="002B6AF7">
      <w:r>
        <w:t>В пом</w:t>
      </w:r>
      <w:r>
        <w:t>ещениях, где выполняются работы, сопровождающиеся шумом, стены не облицовывают звукоотражающими материалами (керамические плитки и др.) и не окрашивают масляными красками.</w:t>
      </w:r>
    </w:p>
    <w:p w:rsidR="00000000" w:rsidRDefault="002B6AF7">
      <w:bookmarkStart w:id="152" w:name="sub_2448"/>
      <w:r>
        <w:t>2.4.4.8. При расположении учебных кабинетов и кабинетов педагогического перс</w:t>
      </w:r>
      <w:r>
        <w:t>онала смежно или в непосредственной близости от помещений мастерских, учебных цехов предъявляют повышенные требования к конструктивным решениям в отношении звукоизоляции. Вход в кабинет оборудуют тамбуром с установкой двойных дверей с прокладками (резиновы</w:t>
      </w:r>
      <w:r>
        <w:t>ми или другими), способствующими их плотному притвору.</w:t>
      </w:r>
    </w:p>
    <w:bookmarkEnd w:id="152"/>
    <w:p w:rsidR="00000000" w:rsidRDefault="002B6AF7">
      <w:r>
        <w:t>Двери всех учебных кабинетов, мастерских и производственных помещений плотно закрывают.</w:t>
      </w:r>
    </w:p>
    <w:p w:rsidR="00000000" w:rsidRDefault="002B6AF7">
      <w:bookmarkStart w:id="153" w:name="sub_2449"/>
      <w:r>
        <w:t>2.4.4.9. В спортивном зале физкультурные мостики, предназначенные для отталкивания при прыжках, д</w:t>
      </w:r>
      <w:r>
        <w:t>олжны иметь амортизирующие прокладки (резиновые, войлочные или из другого материала). Занятия двух групп в одном спортивном зале одновременно не проводят.</w:t>
      </w:r>
    </w:p>
    <w:p w:rsidR="00000000" w:rsidRDefault="002B6AF7">
      <w:bookmarkStart w:id="154" w:name="sub_24410"/>
      <w:bookmarkEnd w:id="153"/>
      <w:r>
        <w:t>2.4.4.10. Комплектовать мастерские следует оборудованием, шумовые характеристики кот</w:t>
      </w:r>
      <w:r>
        <w:t>орого отвечают гигиеническим требованиям. В документах на оборудование должны содержаться сведения по частотной характеристике уровней звукового давления в октавных полосах со среднегеометрическим значением от 62,5 до 8000 Гц и уровней звука холостого хода</w:t>
      </w:r>
      <w:r>
        <w:t xml:space="preserve"> станка.</w:t>
      </w:r>
    </w:p>
    <w:p w:rsidR="00000000" w:rsidRDefault="002B6AF7">
      <w:bookmarkStart w:id="155" w:name="sub_24411"/>
      <w:bookmarkEnd w:id="154"/>
      <w:r>
        <w:t>2.4.4.11. Тяжелое оборудование (агрегаты, станки и пр.) устанавливают на первых этажах на специальном фундаменте, не связанном с фундаментом здания. При невозможности использования фундаментов под станки их устанавливают на аморт</w:t>
      </w:r>
      <w:r>
        <w:t>изирующие прокладки или специальные пружинные приспособления. Настольные станки устанавливают на амортизирующие прокладки.</w:t>
      </w:r>
    </w:p>
    <w:p w:rsidR="00000000" w:rsidRDefault="002B6AF7">
      <w:bookmarkStart w:id="156" w:name="sub_24412"/>
      <w:bookmarkEnd w:id="155"/>
      <w:r>
        <w:t xml:space="preserve">2.4.4.12. С целью предупреждения повышенного шумообразования следует контролировать своевременный ремонт станков и </w:t>
      </w:r>
      <w:r>
        <w:t>их замену.</w:t>
      </w:r>
    </w:p>
    <w:p w:rsidR="00000000" w:rsidRDefault="002B6AF7">
      <w:bookmarkStart w:id="157" w:name="sub_24413"/>
      <w:bookmarkEnd w:id="156"/>
      <w:r>
        <w:t>2.4.4.13. При организации производственного обучения подростков следует руководствоваться гигиеническими критериями допустимых условий и видов работ для профессионального обучения и труда подростков и указаниями по профилактике</w:t>
      </w:r>
      <w:r>
        <w:t xml:space="preserve"> неблагоприятного воздействия производственного шума на организм подростков.</w:t>
      </w:r>
    </w:p>
    <w:p w:rsidR="00000000" w:rsidRDefault="002B6AF7">
      <w:bookmarkStart w:id="158" w:name="sub_24414"/>
      <w:bookmarkEnd w:id="157"/>
      <w:r>
        <w:t>2.4.4.14. Пребывание подростков в условиях шума, превышающего нормируемый уровень, ограничивается (</w:t>
      </w:r>
      <w:hyperlink w:anchor="sub_244146" w:history="1">
        <w:r>
          <w:rPr>
            <w:rStyle w:val="a4"/>
          </w:rPr>
          <w:t>таблица 6</w:t>
        </w:r>
      </w:hyperlink>
      <w:r>
        <w:t>).</w:t>
      </w:r>
    </w:p>
    <w:bookmarkEnd w:id="158"/>
    <w:p w:rsidR="00000000" w:rsidRDefault="002B6AF7"/>
    <w:p w:rsidR="00000000" w:rsidRDefault="002B6AF7">
      <w:pPr>
        <w:ind w:firstLine="698"/>
        <w:jc w:val="right"/>
      </w:pPr>
      <w:r>
        <w:rPr>
          <w:rStyle w:val="a3"/>
        </w:rPr>
        <w:t>Таблица 6</w:t>
      </w:r>
      <w:r>
        <w:t>.</w:t>
      </w:r>
    </w:p>
    <w:p w:rsidR="00000000" w:rsidRDefault="002B6A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2268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Уровни звука L_А и эквивалентные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Возраст (года)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Уровни звука L_А экв., дБА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14-15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16-18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4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6 часов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3,5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5 часов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3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4 часа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2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3 часа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2 часа</w:t>
            </w:r>
          </w:p>
        </w:tc>
      </w:tr>
    </w:tbl>
    <w:p w:rsidR="00000000" w:rsidRDefault="002B6AF7"/>
    <w:p w:rsidR="00000000" w:rsidRDefault="002B6AF7">
      <w:r>
        <w:rPr>
          <w:rStyle w:val="a3"/>
        </w:rPr>
        <w:t>Примечание:</w:t>
      </w:r>
    </w:p>
    <w:p w:rsidR="00000000" w:rsidRDefault="002B6AF7">
      <w:r>
        <w:t>1. По истечении допустимого времени работы в условиях шума подростков переводят на другую работу вне действия повышенных для подростков уровней шума.</w:t>
      </w:r>
    </w:p>
    <w:p w:rsidR="00000000" w:rsidRDefault="002B6AF7">
      <w:r>
        <w:t>2. При работах в условиях шума, превышающего 70 дБА, необходимо вводить 15-минутные перерывы через 45 мину</w:t>
      </w:r>
      <w:r>
        <w:t>т работы с отдыхом в нешумном помещении.</w:t>
      </w:r>
    </w:p>
    <w:p w:rsidR="00000000" w:rsidRDefault="002B6AF7">
      <w:r>
        <w:t>3. При импульсном шуме длительность работы соответственно возрасту должна быть на порядок ниже значений, указанных в таблице, т.е. при L_экв. I=70 дБАI для 14-15-летних - 3,5 ч. и т.д.</w:t>
      </w:r>
    </w:p>
    <w:p w:rsidR="00000000" w:rsidRDefault="002B6AF7">
      <w:r>
        <w:t>4. Пребывание подростков в усл</w:t>
      </w:r>
      <w:r>
        <w:t>овиях шума больше времени, указанного в таблице, без применения средств защиты не допускается.</w:t>
      </w:r>
    </w:p>
    <w:p w:rsidR="00000000" w:rsidRDefault="002B6AF7"/>
    <w:p w:rsidR="00000000" w:rsidRDefault="002B6AF7">
      <w:bookmarkStart w:id="159" w:name="sub_244146"/>
      <w:bookmarkStart w:id="160" w:name="sub_24415"/>
      <w:r>
        <w:t>2.4.4.15. При невозможности проведения мероприятий по снижению производственного шума до допустимых уровней (70 дБА) используют средства колл</w:t>
      </w:r>
      <w:r>
        <w:t>ективной (звукоизолированные кабины и дистанционное управление и др.) и индивидуальной (противошумные наушники, противошумные вкладыши, противошумные шлемы, каски) защиты.</w:t>
      </w:r>
    </w:p>
    <w:p w:rsidR="00000000" w:rsidRDefault="002B6AF7">
      <w:bookmarkStart w:id="161" w:name="sub_24416"/>
      <w:bookmarkEnd w:id="159"/>
      <w:bookmarkEnd w:id="160"/>
      <w:r>
        <w:t>2.4.4.16. Уровни общей вибрации в учебных помещениях для</w:t>
      </w:r>
      <w:r>
        <w:t xml:space="preserve"> теоретических занятий, включая лекционные аудитории, конференц-зал, читальный зал библиотек, не должны превышать значений, указанных в таблице.</w:t>
      </w:r>
    </w:p>
    <w:bookmarkEnd w:id="161"/>
    <w:p w:rsidR="00000000" w:rsidRDefault="002B6AF7"/>
    <w:p w:rsidR="00000000" w:rsidRDefault="002B6AF7">
      <w:pPr>
        <w:ind w:firstLine="698"/>
        <w:jc w:val="right"/>
      </w:pPr>
      <w:r>
        <w:rPr>
          <w:rStyle w:val="a3"/>
        </w:rPr>
        <w:t>Таблица 7</w:t>
      </w:r>
    </w:p>
    <w:p w:rsidR="00000000" w:rsidRDefault="002B6AF7"/>
    <w:p w:rsidR="00000000" w:rsidRDefault="002B6AF7">
      <w:pPr>
        <w:pStyle w:val="1"/>
      </w:pPr>
      <w:r>
        <w:t>Допустимые значения вибрации по виброскорости в учебных помещениях</w:t>
      </w:r>
    </w:p>
    <w:p w:rsidR="00000000" w:rsidRDefault="002B6A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403"/>
        <w:gridCol w:w="3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Среднегеометрические частоты полос, ГЦ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Допустимые значения по осям X, Y, Z дБ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Корректированные и эквивалентные корректированные значения, дБ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81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AF7">
            <w:pPr>
              <w:pStyle w:val="aa"/>
            </w:pPr>
          </w:p>
          <w:p w:rsidR="00000000" w:rsidRDefault="002B6AF7">
            <w:pPr>
              <w:pStyle w:val="aa"/>
            </w:pPr>
          </w:p>
          <w:p w:rsidR="00000000" w:rsidRDefault="002B6AF7">
            <w:pPr>
              <w:pStyle w:val="aa"/>
              <w:jc w:val="center"/>
            </w:pPr>
            <w: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76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B6A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72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B6A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72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B6A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31,5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72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B6A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63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72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AF7">
            <w:pPr>
              <w:pStyle w:val="aa"/>
            </w:pPr>
          </w:p>
        </w:tc>
      </w:tr>
    </w:tbl>
    <w:p w:rsidR="00000000" w:rsidRDefault="002B6AF7"/>
    <w:p w:rsidR="00000000" w:rsidRDefault="002B6AF7">
      <w:bookmarkStart w:id="162" w:name="sub_244167"/>
      <w:bookmarkStart w:id="163" w:name="sub_24417"/>
      <w:r>
        <w:t>2.4.4.17. В период производственной практики уровни технологической вибрации категории 3 на рабочих местах должны соответствовать предельно допустимым значениям. Время работы в таких условиях для подростков, достигших 16 лет, не должно быть более 4 часов в</w:t>
      </w:r>
      <w:r>
        <w:t xml:space="preserve"> день.</w:t>
      </w:r>
    </w:p>
    <w:p w:rsidR="00000000" w:rsidRDefault="002B6AF7">
      <w:bookmarkStart w:id="164" w:name="sub_24418"/>
      <w:bookmarkEnd w:id="162"/>
      <w:bookmarkEnd w:id="163"/>
      <w:r>
        <w:t xml:space="preserve">2.4.4.18. При прохождении производственной практики на транспортных и </w:t>
      </w:r>
      <w:r>
        <w:lastRenderedPageBreak/>
        <w:t>транспортно-технологических машинах, уровни вибрации которых не превышают нормативные (1 и 2 категории вибрации), подростки, достигшие 16 лет, могут об</w:t>
      </w:r>
      <w:r>
        <w:t>учаться не более 4 часов в день.</w:t>
      </w:r>
    </w:p>
    <w:bookmarkEnd w:id="164"/>
    <w:p w:rsidR="00000000" w:rsidRDefault="002B6AF7">
      <w:r>
        <w:t>При уровнях вибрации указанных категорий, достигающих значения класса условий труда 3.1, время производственного обучения ограничивается до 1 часа за рабочий день.</w:t>
      </w:r>
    </w:p>
    <w:p w:rsidR="00000000" w:rsidRDefault="002B6AF7">
      <w:bookmarkStart w:id="165" w:name="sub_24419"/>
      <w:r>
        <w:t>2.4.4.19. В период производственной практ</w:t>
      </w:r>
      <w:r>
        <w:t>ики при уровне локальной вибрации, соответствующей нормативным значениям, подростки, достигшие 16 лет, могут обучаться не более 4-х часов в день.</w:t>
      </w:r>
    </w:p>
    <w:bookmarkEnd w:id="165"/>
    <w:p w:rsidR="00000000" w:rsidRDefault="002B6AF7">
      <w:r>
        <w:t>При уровнях локальной вибрации, достигающих значения класса условий труда 3.1, суммарное время обучен</w:t>
      </w:r>
      <w:r>
        <w:t>ия (на оборудовании, являющемся источником локальной вибрации) ограничивается до 1 часа в день.</w:t>
      </w:r>
    </w:p>
    <w:p w:rsidR="00000000" w:rsidRDefault="002B6AF7">
      <w:bookmarkStart w:id="166" w:name="sub_24420"/>
      <w:r>
        <w:t>2.4.4.20. Производственная практика подростков, не достигших 18 лет, в условиях воздействия транспортной, транспортно-технологической и локальной вибра</w:t>
      </w:r>
      <w:r>
        <w:t>ции не допускается во вредных условиях труда выше 3-го класса 1-й степени вредности.</w:t>
      </w:r>
    </w:p>
    <w:bookmarkEnd w:id="166"/>
    <w:p w:rsidR="00000000" w:rsidRDefault="002B6AF7"/>
    <w:p w:rsidR="00000000" w:rsidRDefault="002B6AF7">
      <w:pPr>
        <w:pStyle w:val="1"/>
      </w:pPr>
      <w:bookmarkStart w:id="167" w:name="sub_1245"/>
      <w:r>
        <w:t>2.4.5. Выбор рабочих мест для производственного обучения</w:t>
      </w:r>
    </w:p>
    <w:bookmarkEnd w:id="167"/>
    <w:p w:rsidR="00000000" w:rsidRDefault="002B6AF7"/>
    <w:p w:rsidR="00000000" w:rsidRDefault="002B6AF7">
      <w:bookmarkStart w:id="168" w:name="sub_2451"/>
      <w:r>
        <w:t>2.4.5.1. Производственное обучение и практику на первом году обучения проводят преимущественно в мастерских учреждений НПО или учебных цехах, отвечающих гигиеническим требованиям, с широким использованием тренажеров, полигонов и технических средств обучени</w:t>
      </w:r>
      <w:r>
        <w:t>я.</w:t>
      </w:r>
    </w:p>
    <w:p w:rsidR="00000000" w:rsidRDefault="002B6AF7">
      <w:bookmarkStart w:id="169" w:name="sub_2452"/>
      <w:bookmarkEnd w:id="168"/>
      <w:r>
        <w:t>2.4.5.2. При отсутствии в учреждении НПО необходимой базы производственное обучение может быть организовано в организациях при обеспечении условий, отвечающих нормативным требованиям для подростков, за исключением подготовки по профессия</w:t>
      </w:r>
      <w:r>
        <w:t>м, входящим в перечень тяжелых работ и работ с вредными или опасными условиями труда, при выполнении которых запрещается применение труда лиц моложе 18 лет.</w:t>
      </w:r>
    </w:p>
    <w:p w:rsidR="00000000" w:rsidRDefault="002B6AF7">
      <w:bookmarkStart w:id="170" w:name="sub_2453"/>
      <w:bookmarkEnd w:id="169"/>
      <w:r>
        <w:t>2.4.5.3. Производственная практика на организациях различных отраслей промышленност</w:t>
      </w:r>
      <w:r>
        <w:t>и по профессиям, входящим в вышеупомянутый перечень, допускается для обучающихся не моложе 16-летнего возраста при условии:</w:t>
      </w:r>
    </w:p>
    <w:bookmarkEnd w:id="170"/>
    <w:p w:rsidR="00000000" w:rsidRDefault="002B6AF7">
      <w:r>
        <w:t>- ограничения продолжительности рабочего дня обучающихся (не более половины рабочего дня взрослых рабочих);</w:t>
      </w:r>
    </w:p>
    <w:p w:rsidR="00000000" w:rsidRDefault="002B6AF7">
      <w:r>
        <w:t>- исключение отд</w:t>
      </w:r>
      <w:r>
        <w:t>ельных видов работ и условий, запрещенных для применения труда несовершеннолетних;</w:t>
      </w:r>
    </w:p>
    <w:p w:rsidR="00000000" w:rsidRDefault="002B6AF7">
      <w:r>
        <w:t>- при условиях труда, не превышающих по параметрам условий класса 3.1 согласно гигиеническим критериям оценки и классификации условий труда.</w:t>
      </w:r>
    </w:p>
    <w:p w:rsidR="00000000" w:rsidRDefault="002B6AF7">
      <w:bookmarkStart w:id="171" w:name="sub_2454"/>
      <w:r>
        <w:t>2.4.5.4. Для производств</w:t>
      </w:r>
      <w:r>
        <w:t>енного обучения выделяют специальные участки или рабочие места с наиболее современной технологией и закрытыми производственными процессами, высоким уровнем механизации, отвечающие требованиям санитарных норм и правил для соответствующих отраслей, требовани</w:t>
      </w:r>
      <w:r>
        <w:t>ям техники безопасности и охраны труда.</w:t>
      </w:r>
    </w:p>
    <w:p w:rsidR="00000000" w:rsidRDefault="002B6AF7">
      <w:bookmarkStart w:id="172" w:name="sub_2455"/>
      <w:bookmarkEnd w:id="171"/>
      <w:r>
        <w:t>2.4.5.5. Обучающихся не используют на подсобных работах, не входящих в программу профессиональной подготовки, а также связанных с постоянным переносом и передвижением тяжести.</w:t>
      </w:r>
    </w:p>
    <w:p w:rsidR="00000000" w:rsidRDefault="002B6AF7">
      <w:bookmarkStart w:id="173" w:name="sub_2456"/>
      <w:bookmarkEnd w:id="172"/>
      <w:r>
        <w:t xml:space="preserve">2.4.5.6. </w:t>
      </w:r>
      <w:hyperlink r:id="rId26" w:history="1">
        <w:r>
          <w:rPr>
            <w:rStyle w:val="a4"/>
          </w:rPr>
          <w:t>Исключен</w:t>
        </w:r>
      </w:hyperlink>
      <w:r>
        <w:t xml:space="preserve"> с 1 июля 2007 г.</w:t>
      </w:r>
    </w:p>
    <w:bookmarkEnd w:id="173"/>
    <w:p w:rsidR="00000000" w:rsidRDefault="002B6AF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B6AF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7" w:history="1">
        <w:r>
          <w:rPr>
            <w:rStyle w:val="a4"/>
            <w:shd w:val="clear" w:color="auto" w:fill="F0F0F0"/>
          </w:rPr>
          <w:t>пункта 2.4.5.6</w:t>
        </w:r>
      </w:hyperlink>
    </w:p>
    <w:p w:rsidR="00000000" w:rsidRDefault="002B6AF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6AF7">
      <w:pPr>
        <w:pStyle w:val="1"/>
      </w:pPr>
      <w:bookmarkStart w:id="174" w:name="sub_1225"/>
      <w:r>
        <w:t xml:space="preserve">2.5. Требования к </w:t>
      </w:r>
      <w:r>
        <w:t>санитарно-бытовому обеспечению</w:t>
      </w:r>
    </w:p>
    <w:bookmarkEnd w:id="174"/>
    <w:p w:rsidR="00000000" w:rsidRDefault="002B6AF7"/>
    <w:p w:rsidR="00000000" w:rsidRDefault="002B6AF7">
      <w:pPr>
        <w:pStyle w:val="1"/>
      </w:pPr>
      <w:bookmarkStart w:id="175" w:name="sub_251"/>
      <w:r>
        <w:t>2.5.1. Содержание помещений и участка</w:t>
      </w:r>
    </w:p>
    <w:bookmarkEnd w:id="175"/>
    <w:p w:rsidR="00000000" w:rsidRDefault="002B6AF7"/>
    <w:p w:rsidR="00000000" w:rsidRDefault="002B6AF7">
      <w:bookmarkStart w:id="176" w:name="sub_2511"/>
      <w:r>
        <w:t>2.5.1.1. Все помещения учреждений НПО и участок содержат в порядке и чистоте: в кабинетах, классах, лабораториях, аудиториях и других помещениях проводят е</w:t>
      </w:r>
      <w:r>
        <w:t>жедневную влажную уборку при открытых окнах или фрамугах и форточках (в зависимости от погодных условий).</w:t>
      </w:r>
    </w:p>
    <w:p w:rsidR="00000000" w:rsidRDefault="002B6AF7">
      <w:bookmarkStart w:id="177" w:name="sub_2512"/>
      <w:bookmarkEnd w:id="176"/>
      <w:r>
        <w:t xml:space="preserve">2.5.1.2. Генеральную уборку помещений проводят один раз в месяц с применением не только моющих средств, но и дезинфицирующих средств. </w:t>
      </w:r>
      <w:r>
        <w:t>Для этих целей используют разрешенные в установленном порядке дезинфицирующие средства.</w:t>
      </w:r>
    </w:p>
    <w:p w:rsidR="00000000" w:rsidRDefault="002B6AF7">
      <w:bookmarkStart w:id="178" w:name="sub_2513"/>
      <w:bookmarkEnd w:id="177"/>
      <w:r>
        <w:t>2.5.1.3. Очистку стекол, рам и оконных проемов проводят 2 раза в течение учебного года.</w:t>
      </w:r>
    </w:p>
    <w:p w:rsidR="00000000" w:rsidRDefault="002B6AF7">
      <w:bookmarkStart w:id="179" w:name="sub_2514"/>
      <w:bookmarkEnd w:id="178"/>
      <w:r>
        <w:t>2.5.1.4. Уборку кабинетов, лабораторий, аудитори</w:t>
      </w:r>
      <w:r>
        <w:t>й и других помещений осуществляют после последнего звонка, коридоров и рекреационных помещений - после каждой из перемен; обеденного зала - после каждого приема пищи; вестибюля и гардероба - после начала занятий и по мере их загрязнения в течение дня; акто</w:t>
      </w:r>
      <w:r>
        <w:t xml:space="preserve">вый зал, комнаты кружковых занятий и административно-хозяйственные помещения - в конце дня, а также по мере необходимости. Проветривание и влажную уборку спортивного зала осуществляют после каждого урока. Очистку матов (выколачивание) следует проводить на </w:t>
      </w:r>
      <w:r>
        <w:t>открытом воздухе не реже одного раза в неделю и ежедневно чистить пылесосом (или протирать влажной тряпкой).</w:t>
      </w:r>
    </w:p>
    <w:p w:rsidR="00000000" w:rsidRDefault="002B6AF7">
      <w:bookmarkStart w:id="180" w:name="sub_2515"/>
      <w:bookmarkEnd w:id="179"/>
      <w:r>
        <w:t>2.5.1.5. Уборку туалетов и умывальных комнат осуществляют ежедневно. Полы моют теплой водой с применением моющих и дезсредств после</w:t>
      </w:r>
      <w:r>
        <w:t xml:space="preserve"> каждой перемены в училище; в общежитии - в течение дня по мере загрязнения. Унитазы ежедневно моют теплой водой с моющими и дезсредствами. С целью удаления мочекислых солей раз в неделю следует мыть унитазы щетками с использованием средств, содержащих сол</w:t>
      </w:r>
      <w:r>
        <w:t>яную кислоту (санитарный, санита и др.) с последующим обильньм промыванием их водой.</w:t>
      </w:r>
    </w:p>
    <w:p w:rsidR="00000000" w:rsidRDefault="002B6AF7">
      <w:bookmarkStart w:id="181" w:name="sub_2516"/>
      <w:bookmarkEnd w:id="180"/>
      <w:r>
        <w:t>2.5.1.6. К мытью туалетов обучающихся не привлекают.</w:t>
      </w:r>
    </w:p>
    <w:p w:rsidR="00000000" w:rsidRDefault="002B6AF7">
      <w:bookmarkStart w:id="182" w:name="sub_2517"/>
      <w:bookmarkEnd w:id="181"/>
      <w:r>
        <w:t>2.5.1.7. Уборочный инвентарь (тряпки, ведра, щетки) маркируют и хранят в отведенных дл</w:t>
      </w:r>
      <w:r>
        <w:t>я этих целей помещениях. После уборки весь инвентарь следует промыть горячей водой, используя при этом моющие средства.</w:t>
      </w:r>
    </w:p>
    <w:p w:rsidR="00000000" w:rsidRDefault="002B6AF7">
      <w:bookmarkStart w:id="183" w:name="sub_2518"/>
      <w:bookmarkEnd w:id="182"/>
      <w:r>
        <w:t>2.5.1.8. Для сбора бытовых отходов на дворовой территории устанавливают на бетонированных площадках мусоросборники приня</w:t>
      </w:r>
      <w:r>
        <w:t>того для данной местности типа. Осуществляют регулярный вывоз твердых бытовых отходов.</w:t>
      </w:r>
    </w:p>
    <w:p w:rsidR="00000000" w:rsidRDefault="002B6AF7">
      <w:bookmarkStart w:id="184" w:name="sub_2519"/>
      <w:bookmarkEnd w:id="183"/>
      <w:r>
        <w:t>2.5.1.9. Участок учреждений НПО систематически убирают: летом дорожки, тротуары, проезды поливают и подметают; зимой - освобождают от снега и льда.</w:t>
      </w:r>
    </w:p>
    <w:p w:rsidR="00000000" w:rsidRDefault="002B6AF7">
      <w:bookmarkStart w:id="185" w:name="sub_25110"/>
      <w:bookmarkEnd w:id="184"/>
      <w:r>
        <w:t>2.5.1.10. Спортивную зону участка содержат в чистоте и по мере необходимости убирают.</w:t>
      </w:r>
    </w:p>
    <w:p w:rsidR="00000000" w:rsidRDefault="002B6AF7">
      <w:bookmarkStart w:id="186" w:name="sub_25111"/>
      <w:bookmarkEnd w:id="185"/>
      <w:r>
        <w:t>2.5.1.11. Ранней весной и поздней осенью осуществляют уборку территории, вырубку сухих деревьев и веток, молодой поросли. Территорию не захл</w:t>
      </w:r>
      <w:r>
        <w:t>амляют и не устраивают склады в неположенном месте.</w:t>
      </w:r>
    </w:p>
    <w:p w:rsidR="00000000" w:rsidRDefault="002B6AF7">
      <w:bookmarkStart w:id="187" w:name="sub_25112"/>
      <w:bookmarkEnd w:id="186"/>
      <w:r>
        <w:t>2.5.1.12. Косметический ремонт с использованием лакокрасочных веществ и капитальный ремонт не производят при функционировании учреждения НПО.</w:t>
      </w:r>
    </w:p>
    <w:bookmarkEnd w:id="187"/>
    <w:p w:rsidR="00000000" w:rsidRDefault="002B6AF7"/>
    <w:p w:rsidR="00000000" w:rsidRDefault="002B6AF7">
      <w:pPr>
        <w:pStyle w:val="1"/>
      </w:pPr>
      <w:bookmarkStart w:id="188" w:name="sub_252"/>
      <w:r>
        <w:t>2.5.2. Санитарно-бытовое об</w:t>
      </w:r>
      <w:r>
        <w:t>еспечение обучающихся во время производственного обучения и практики</w:t>
      </w:r>
    </w:p>
    <w:bookmarkEnd w:id="188"/>
    <w:p w:rsidR="00000000" w:rsidRDefault="002B6AF7"/>
    <w:p w:rsidR="00000000" w:rsidRDefault="002B6AF7">
      <w:bookmarkStart w:id="189" w:name="sub_2521"/>
      <w:r>
        <w:t>2.5.2.1. В учебно-производственных мастерских должен быть организован питьевой режим, обеспечивающий безопасность качества питьевой воды, которая должна отвечать требовани</w:t>
      </w:r>
      <w:r>
        <w:t>ям санитарных норм.</w:t>
      </w:r>
    </w:p>
    <w:p w:rsidR="00000000" w:rsidRDefault="002B6AF7">
      <w:bookmarkStart w:id="190" w:name="sub_2522"/>
      <w:bookmarkEnd w:id="189"/>
      <w:r>
        <w:t>2.5.2.2. Учебно-производственные мастерские обеспечивают обычными или специальными моющими (очищающими) средствами, щетками, полотенцами или заменяющими их устройствами, а также средствами индивидуальной защиты в соответ</w:t>
      </w:r>
      <w:r>
        <w:t>ствии с профилем осваиваемой специальности.</w:t>
      </w:r>
    </w:p>
    <w:p w:rsidR="00000000" w:rsidRDefault="002B6AF7">
      <w:bookmarkStart w:id="191" w:name="sub_2523"/>
      <w:bookmarkEnd w:id="190"/>
      <w:r>
        <w:lastRenderedPageBreak/>
        <w:t>2.5.2.3. Учебно-производственные мастерские обеспечивают аптечками, необходимыми для оказания первой помощи, перевязочными средствами, носилками с зафиксированным адресом и телефоном ближайшего ле</w:t>
      </w:r>
      <w:r>
        <w:t>чебного учреждения, где может быть оказана медицинская помощь.</w:t>
      </w:r>
    </w:p>
    <w:p w:rsidR="00000000" w:rsidRDefault="002B6AF7">
      <w:bookmarkStart w:id="192" w:name="sub_2524"/>
      <w:bookmarkEnd w:id="191"/>
      <w:r>
        <w:t>2.5.2.4. Обучение и инструктаж обучающихся следует проводить с учетом возрастных особенностей подростков, учитывая склонность к недооценке потенциально опасных ситуаций и отсутс</w:t>
      </w:r>
      <w:r>
        <w:t>твие необходимых навыков и опыта. Ответственность за своевременный и полный инструктаж по охране труда и технике безопасности обучающихся на рабочих местах несет администрация учебных заведений и предприятий.</w:t>
      </w:r>
    </w:p>
    <w:p w:rsidR="00000000" w:rsidRDefault="002B6AF7">
      <w:bookmarkStart w:id="193" w:name="sub_2525"/>
      <w:bookmarkEnd w:id="192"/>
      <w:r>
        <w:t>2.5.2.5. При прохождении произв</w:t>
      </w:r>
      <w:r>
        <w:t>одственной практики обучающиеся выполняют правила производственной санитарии и гигиены, предусмотренные отраслевыми санитарными правилами и правилами по охране труда и технике безопасности.</w:t>
      </w:r>
    </w:p>
    <w:p w:rsidR="00000000" w:rsidRDefault="002B6AF7">
      <w:bookmarkStart w:id="194" w:name="sub_2526"/>
      <w:bookmarkEnd w:id="193"/>
      <w:r>
        <w:t>2.5.2.6. Во время прохождения производственной практики обучающихся обеспечивают индивидуальными средствами защиты: спецодеждой, спецобувью, очками, масками, противошумами, шлемами, касками и др. по нормам, установленным для рабочих данных профессий. Обуча</w:t>
      </w:r>
      <w:r>
        <w:t>ющихся не допускают к работе без соответствующей спецодежды и предохранительных приспособлений.</w:t>
      </w:r>
    </w:p>
    <w:p w:rsidR="00000000" w:rsidRDefault="002B6AF7">
      <w:bookmarkStart w:id="195" w:name="sub_2527"/>
      <w:bookmarkEnd w:id="194"/>
      <w:r>
        <w:t>2.5.2.7. При прохождении производственной практики обучающихся обеспечивают моющими средствами, а также средствами, применяемыми для защиты и оч</w:t>
      </w:r>
      <w:r>
        <w:t>ищения кожи, по нормам, установленным для работающих.</w:t>
      </w:r>
    </w:p>
    <w:p w:rsidR="00000000" w:rsidRDefault="002B6AF7">
      <w:bookmarkStart w:id="196" w:name="sub_2528"/>
      <w:bookmarkEnd w:id="195"/>
      <w:r>
        <w:t>2.5.2.8. При прохождении производственной практики на штатном рабочем месте в организациях с наличием производственных вредностей обучающиеся должны пользоваться, как и кадровые рабочие,</w:t>
      </w:r>
      <w:r>
        <w:t xml:space="preserve"> предусмотренным питанием, медицинским обслуживанием и т.д.</w:t>
      </w:r>
    </w:p>
    <w:p w:rsidR="00000000" w:rsidRDefault="002B6AF7">
      <w:bookmarkStart w:id="197" w:name="sub_2529"/>
      <w:bookmarkEnd w:id="196"/>
      <w:r>
        <w:t xml:space="preserve">2.5.2.9. Во время прохождения производственной практики обучающиеся имеют доступ ко всем санитарно-бытовым помещениям организации (гардеробные, бельевые, душевые, туалеты, комнаты </w:t>
      </w:r>
      <w:r>
        <w:t>личной гигиены женщин, столовые, помещения для обогрева и отдыха, медицинский кабинет и др.).</w:t>
      </w:r>
    </w:p>
    <w:p w:rsidR="00000000" w:rsidRDefault="002B6AF7">
      <w:bookmarkStart w:id="198" w:name="sub_25210"/>
      <w:bookmarkEnd w:id="197"/>
      <w:r>
        <w:t>2.5.2.10. Условия прохождения производственной практики документально фиксируются в договоре между администрацией учреждения НПО и организацией.</w:t>
      </w:r>
    </w:p>
    <w:bookmarkEnd w:id="198"/>
    <w:p w:rsidR="00000000" w:rsidRDefault="002B6AF7"/>
    <w:p w:rsidR="00000000" w:rsidRDefault="002B6AF7">
      <w:pPr>
        <w:pStyle w:val="1"/>
      </w:pPr>
      <w:bookmarkStart w:id="199" w:name="sub_1226"/>
      <w:r>
        <w:t>2.6. Требования к организации учебно-производственного процесса</w:t>
      </w:r>
    </w:p>
    <w:bookmarkEnd w:id="199"/>
    <w:p w:rsidR="00000000" w:rsidRDefault="002B6AF7"/>
    <w:p w:rsidR="00000000" w:rsidRDefault="002B6AF7">
      <w:r>
        <w:t>Построение гигиенически рационального учебно-производственного процесса основывается на соответствии суммарной учебно-производственной нагрузки возрастным особенност</w:t>
      </w:r>
      <w:r>
        <w:t>ям и возможностям организма обучающихся. Оптимальный режим, обеспечивающий высокую работоспособность, сохранение и укрепление здоровья, предусматривает необходимое чередование труда и отдыха, смену различных видов деятельности, определенную длительность уч</w:t>
      </w:r>
      <w:r>
        <w:t>ебы и работы для подростков разного возраста с учетом условий обучения, эффективное использование свободного времени, средств физического воспитания и т.д.</w:t>
      </w:r>
    </w:p>
    <w:p w:rsidR="00000000" w:rsidRDefault="002B6AF7"/>
    <w:p w:rsidR="00000000" w:rsidRDefault="002B6AF7">
      <w:pPr>
        <w:pStyle w:val="1"/>
      </w:pPr>
      <w:bookmarkStart w:id="200" w:name="sub_261"/>
      <w:r>
        <w:t>2.6.1. Требования к организации учебно-производственных занятий</w:t>
      </w:r>
    </w:p>
    <w:bookmarkEnd w:id="200"/>
    <w:p w:rsidR="00000000" w:rsidRDefault="002B6AF7"/>
    <w:p w:rsidR="00000000" w:rsidRDefault="002B6AF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1" w:name="sub_2611"/>
      <w:r>
        <w:rPr>
          <w:color w:val="000000"/>
          <w:sz w:val="16"/>
          <w:szCs w:val="16"/>
          <w:shd w:val="clear" w:color="auto" w:fill="F0F0F0"/>
        </w:rPr>
        <w:t>Информация о</w:t>
      </w:r>
      <w:r>
        <w:rPr>
          <w:color w:val="000000"/>
          <w:sz w:val="16"/>
          <w:szCs w:val="16"/>
          <w:shd w:val="clear" w:color="auto" w:fill="F0F0F0"/>
        </w:rPr>
        <w:t>б изменениях:</w:t>
      </w:r>
    </w:p>
    <w:bookmarkEnd w:id="201"/>
    <w:p w:rsidR="00000000" w:rsidRDefault="002B6AF7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30 сентября 2009 г. N 59 пункт 2.6.1.1 настоящих СанПиН изложен в новой редакции, </w:t>
      </w:r>
      <w:hyperlink r:id="rId2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2010 г.</w:t>
      </w:r>
    </w:p>
    <w:p w:rsidR="00000000" w:rsidRDefault="002B6AF7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B6AF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6AF7">
      <w:r>
        <w:t>2.6.1.1. Учебная нагрузка обучающихся должна быть дифференцирована</w:t>
      </w:r>
      <w:r>
        <w:t xml:space="preserve"> с учетом </w:t>
      </w:r>
      <w:r>
        <w:lastRenderedPageBreak/>
        <w:t>продолжительности учебной недели и курса обучения и не должна превышать объемов, представленных в таблице 7:</w:t>
      </w:r>
    </w:p>
    <w:p w:rsidR="00000000" w:rsidRDefault="002B6AF7"/>
    <w:p w:rsidR="00000000" w:rsidRDefault="002B6AF7">
      <w:pPr>
        <w:ind w:firstLine="698"/>
        <w:jc w:val="right"/>
      </w:pPr>
      <w:bookmarkStart w:id="202" w:name="sub_1007"/>
      <w:r>
        <w:rPr>
          <w:rStyle w:val="a3"/>
        </w:rPr>
        <w:t>Таблица 7</w:t>
      </w:r>
    </w:p>
    <w:bookmarkEnd w:id="202"/>
    <w:p w:rsidR="00000000" w:rsidRDefault="002B6A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7"/>
        <w:gridCol w:w="4438"/>
        <w:gridCol w:w="43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</w:pPr>
            <w:r>
              <w:t>Курсы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Максимально допустимая недельная нагрузка в академических часах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при 6-дневной учебной неделе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при 5-дневной учебной неделе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</w:pPr>
            <w:r>
              <w:t>1 курс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35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33 -34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</w:pPr>
            <w:r>
              <w:t>2 курс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36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</w:pPr>
            <w:r>
              <w:t>3 курс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36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36</w:t>
            </w:r>
          </w:p>
        </w:tc>
      </w:tr>
    </w:tbl>
    <w:p w:rsidR="00000000" w:rsidRDefault="002B6AF7"/>
    <w:p w:rsidR="00000000" w:rsidRDefault="002B6AF7">
      <w:bookmarkStart w:id="203" w:name="sub_2612"/>
      <w:r>
        <w:t>2.6.1.2. При прохождении производственной практики в организациях продолжительность рабочего дня зависит от возраста и составляет в соответствии с трудовым з</w:t>
      </w:r>
      <w:r>
        <w:t>аконодательством для подростков до 16 лет - 4 часа в день (24 часа в неделю), от 16 до 18 лет - 6 часов в день (36 часов в неделю). В возрасте от 18 лет и старше не более 40 часов в неделю. Производственная практика при освоении профессий, входящих в переч</w:t>
      </w:r>
      <w:r>
        <w:t>ень запрещенных для применения труда лиц моложе 18 лет, организуется в соответствии с п.2.4.5.3.</w:t>
      </w:r>
    </w:p>
    <w:bookmarkEnd w:id="203"/>
    <w:p w:rsidR="00000000" w:rsidRDefault="002B6AF7"/>
    <w:p w:rsidR="00000000" w:rsidRDefault="002B6AF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4" w:name="sub_26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4"/>
    <w:p w:rsidR="00000000" w:rsidRDefault="002B6AF7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</w:t>
      </w:r>
      <w:r>
        <w:rPr>
          <w:shd w:val="clear" w:color="auto" w:fill="F0F0F0"/>
        </w:rPr>
        <w:t xml:space="preserve"> санитарного врача РФ от 30 сентября 2009 г. N 59 пункт 2.6.1.3 настоящих СанПиН изложен в новой редакции, </w:t>
      </w:r>
      <w:hyperlink r:id="rId3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2010 г.</w:t>
      </w:r>
    </w:p>
    <w:p w:rsidR="00000000" w:rsidRDefault="002B6AF7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B6AF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6AF7">
      <w:r>
        <w:t>2.6.1.3. Общая продолжительность перемен должна составлять не менее 20% времени учебного дня. Перемены на отдых обучающихся должны иметь продолжитель</w:t>
      </w:r>
      <w:r>
        <w:t>ность не менее 10 минут. Для организации питания предусматривают перемены продолжительностью не менее 20 минут. Отдых обучающихся в перерывах между занятиями организуется в рекреационных, специально отведенных помещениях или на участках территории организа</w:t>
      </w:r>
      <w:r>
        <w:t>ции.</w:t>
      </w:r>
    </w:p>
    <w:p w:rsidR="00000000" w:rsidRDefault="002B6AF7">
      <w:bookmarkStart w:id="205" w:name="sub_2614"/>
      <w:r>
        <w:t xml:space="preserve">2.6.1.4. Структура рабочего дня во время производственной практики обеспечивает постепенный переход от режима школы и учреждения НПО к режиму труда на производстве. Для этого на первом этапе, длительность которого зависит от сроков обучения и </w:t>
      </w:r>
      <w:r>
        <w:t>профессии, предусматривают десятиминутные перерывы через каждые 50 мин. работы, на втором этапе, через 1,5-2 часа и на заключительном этапе производственной практики режим работы подростков приближают к режиму труда взрослых рабочих, с более ранним обеденн</w:t>
      </w:r>
      <w:r>
        <w:t>ым перерывом (после 3 часов работы).</w:t>
      </w:r>
    </w:p>
    <w:p w:rsidR="00000000" w:rsidRDefault="002B6AF7">
      <w:bookmarkStart w:id="206" w:name="sub_2615"/>
      <w:bookmarkEnd w:id="205"/>
      <w:r>
        <w:t>2.6.1.5. При выборе режима учебно-производственной деятельности осуществляют дифференцированный подход с учетом характера осваиваемой профессии:</w:t>
      </w:r>
    </w:p>
    <w:bookmarkEnd w:id="206"/>
    <w:p w:rsidR="00000000" w:rsidRDefault="002B6AF7">
      <w:r>
        <w:t>- при освоении профессий, не связанных с воздейств</w:t>
      </w:r>
      <w:r>
        <w:t>ием выраженных профессиональных вредностей, лучшим вариантом режима обучения является такой, когда на первом курсе два дня практики разделены одним, максимум двумя днями теоретических занятий; на II курсе целесообразно проведение производственного обучения</w:t>
      </w:r>
      <w:r>
        <w:t xml:space="preserve"> сдвоенными днями; на III курсе допустимы встроенные дни производственного обучения, а также чередование дней теоретических и практических занятий в различных сочетаниях;</w:t>
      </w:r>
    </w:p>
    <w:p w:rsidR="00000000" w:rsidRDefault="002B6AF7">
      <w:r>
        <w:t>- при одно- полуторагодичном сроке подготовки (на базе общего среднего образования) р</w:t>
      </w:r>
      <w:r>
        <w:t>ациональным является режим с равномерным чередованием теоретических и практических занятий через день; во втором полугодии возможно также применение режима с тремя днями практики, из которых два могут быть сдвоенными;</w:t>
      </w:r>
    </w:p>
    <w:p w:rsidR="00000000" w:rsidRDefault="002B6AF7">
      <w:r>
        <w:t xml:space="preserve">- при освоении профессий, запрещенных </w:t>
      </w:r>
      <w:r>
        <w:t xml:space="preserve">для применения труда лиц моложе 18 лет </w:t>
      </w:r>
      <w:r>
        <w:lastRenderedPageBreak/>
        <w:t xml:space="preserve">(упомянуты в </w:t>
      </w:r>
      <w:hyperlink w:anchor="sub_2453" w:history="1">
        <w:r>
          <w:rPr>
            <w:rStyle w:val="a4"/>
          </w:rPr>
          <w:t>п.2.4.5.3</w:t>
        </w:r>
      </w:hyperlink>
      <w:r>
        <w:t>.), для сокращения времени пребывания учащихся в условиях производства целесообразно использовать режим, предусматривающий чередование теоретических и практических занят</w:t>
      </w:r>
      <w:r>
        <w:t>ий на протяжении дня;</w:t>
      </w:r>
    </w:p>
    <w:p w:rsidR="00000000" w:rsidRDefault="002B6AF7">
      <w:r>
        <w:t xml:space="preserve">- производственную практику на I и II курсах обучения не рекомендуется начинать ранее 8 часов утра, а на III курсе и на одногодичных отделениях - ранее 7 час. 30 мин; обучение в вечернюю смену является нежелательным в связи с поздним </w:t>
      </w:r>
      <w:r>
        <w:t>окончанием работы, в ночную смену - запрещено законодательством.</w:t>
      </w:r>
    </w:p>
    <w:p w:rsidR="00000000" w:rsidRDefault="002B6AF7">
      <w:bookmarkStart w:id="207" w:name="sub_2616"/>
      <w:r>
        <w:t>2.6.1.6. Все положения по организации режима труда и отдыха отражают в договоре о проведении производственной практики обучающихся, который заключают между учреждением НПО и организац</w:t>
      </w:r>
      <w:r>
        <w:t>ией.</w:t>
      </w:r>
    </w:p>
    <w:bookmarkEnd w:id="207"/>
    <w:p w:rsidR="00000000" w:rsidRDefault="002B6AF7"/>
    <w:p w:rsidR="00000000" w:rsidRDefault="002B6AF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8" w:name="sub_26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8"/>
    <w:p w:rsidR="00000000" w:rsidRDefault="002B6AF7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30 сентября 2009 г. N 59 в пункт 2.6.1.7 настоящих СанПиН внесены и</w:t>
      </w:r>
      <w:r>
        <w:rPr>
          <w:shd w:val="clear" w:color="auto" w:fill="F0F0F0"/>
        </w:rPr>
        <w:t xml:space="preserve">зменения, </w:t>
      </w:r>
      <w:hyperlink r:id="rId3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2010 г.</w:t>
      </w:r>
    </w:p>
    <w:p w:rsidR="00000000" w:rsidRDefault="002B6AF7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B6AF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6AF7">
      <w:r>
        <w:t>2.6.1.7. При составлении расписания необходимо учитывать динамику работоспособности обучающихся, степень сложности усвоения учебного материала (</w:t>
      </w:r>
      <w:hyperlink w:anchor="sub_2200" w:history="1">
        <w:r>
          <w:rPr>
            <w:rStyle w:val="a4"/>
          </w:rPr>
          <w:t>приложение 2</w:t>
        </w:r>
      </w:hyperlink>
      <w:r>
        <w:t>):</w:t>
      </w:r>
    </w:p>
    <w:p w:rsidR="00000000" w:rsidRDefault="002B6AF7">
      <w:r>
        <w:t>- занятия по трудным для усвоения предметам теоретического обучения сле</w:t>
      </w:r>
      <w:r>
        <w:t>дует проводить в дни и часы более высокой работоспособности обучающихся, чередуя их с занятиями по другим предметам: в понедельник или субботу рекомендуется включать в расписание не более двух уроков по трудно усваиваемым предметам, в дни высокой работоспо</w:t>
      </w:r>
      <w:r>
        <w:t>собности (вторник, среда) - три-четыре;</w:t>
      </w:r>
    </w:p>
    <w:p w:rsidR="00000000" w:rsidRDefault="002B6AF7">
      <w:r>
        <w:t>- для изучения теоретических предметов профессионально-технического цикла следует выделять 2-4-й часы, так как занятия этого цикла являются для обучающихся более утомительными, чем по общеобразовательным предметам, о</w:t>
      </w:r>
      <w:r>
        <w:t>собенно в первый год их изучения;</w:t>
      </w:r>
    </w:p>
    <w:p w:rsidR="00000000" w:rsidRDefault="002B6AF7">
      <w:r>
        <w:t>- на начальном этапе освоения профессиональных навыков для производственного обучения необходимо отводить дни высокой работоспособности (кроме понедельника и субботы);</w:t>
      </w:r>
    </w:p>
    <w:p w:rsidR="00000000" w:rsidRDefault="002B6AF7">
      <w:r>
        <w:t>- занятия по одному предмету должны проводить с интерв</w:t>
      </w:r>
      <w:r>
        <w:t>алом один-два дня, но не реже, чем 1 раз в 3 дня;</w:t>
      </w:r>
    </w:p>
    <w:p w:rsidR="00000000" w:rsidRDefault="002B6AF7">
      <w:r>
        <w:t>- необходимо предусматривать чередование общеобразовательных, общетехнических и специальных предметов в течение учебного дня; проведение сдвоенных уроков разрешается по всем предметам, кроме уроков физкульт</w:t>
      </w:r>
      <w:r>
        <w:t>уры в залах. Режим работы на дисплеях организуется в соответствии с санитарными правилами;</w:t>
      </w:r>
    </w:p>
    <w:p w:rsidR="00000000" w:rsidRDefault="002B6AF7">
      <w:bookmarkStart w:id="209" w:name="sub_26177"/>
      <w:r>
        <w:t>- при использовании сдвоенных уроков должны быть предусмотрены между ними 10-минутные перерывы на отдых;</w:t>
      </w:r>
    </w:p>
    <w:bookmarkEnd w:id="209"/>
    <w:p w:rsidR="00000000" w:rsidRDefault="002B6AF7">
      <w:r>
        <w:t>- учебная нагрузка в последний день недели</w:t>
      </w:r>
      <w:r>
        <w:t xml:space="preserve"> должна быть уменьшена либо за счет сокращения продолжительности учебного дня, либо за счет включения предметов меньшей сложности для усвоения;</w:t>
      </w:r>
    </w:p>
    <w:p w:rsidR="00000000" w:rsidRDefault="002B6AF7">
      <w:r>
        <w:t>- в целях профилактики переутомления и поддержания работоспособности обучающихся рекомендуется организовывать пл</w:t>
      </w:r>
      <w:r>
        <w:t>отность учебных занятий в пределах 60% - 80% учебного времени, с использованием наглядных пособий, технических средств обучения, самостоятельной работы;</w:t>
      </w:r>
    </w:p>
    <w:p w:rsidR="00000000" w:rsidRDefault="002B6AF7">
      <w:r>
        <w:t>- не рекомендуется использовать лекционное построение занятий на первых двух курсах обучения.</w:t>
      </w:r>
    </w:p>
    <w:p w:rsidR="00000000" w:rsidRDefault="002B6AF7">
      <w:bookmarkStart w:id="210" w:name="sub_2618"/>
      <w:r>
        <w:t>2</w:t>
      </w:r>
      <w:r>
        <w:t>.6.1.8. Расписание занятий составляют не менее, чем на полгода и не меняют в целях выработки у обучающихся устойчивого стереотипа деятельности, обеспечивающего успешное усвоение учебного материала и практических навыков.</w:t>
      </w:r>
    </w:p>
    <w:p w:rsidR="00000000" w:rsidRDefault="002B6AF7">
      <w:bookmarkStart w:id="211" w:name="sub_2619"/>
      <w:bookmarkEnd w:id="210"/>
      <w:r>
        <w:t>2.6.1.9. Используем</w:t>
      </w:r>
      <w:r>
        <w:t xml:space="preserve">ые в учебном процессе учебники и пособия должны отвечать </w:t>
      </w:r>
      <w:r>
        <w:lastRenderedPageBreak/>
        <w:t>требованиям санитарных правил.</w:t>
      </w:r>
    </w:p>
    <w:bookmarkEnd w:id="211"/>
    <w:p w:rsidR="00000000" w:rsidRDefault="002B6AF7"/>
    <w:p w:rsidR="00000000" w:rsidRDefault="002B6AF7">
      <w:pPr>
        <w:pStyle w:val="1"/>
      </w:pPr>
      <w:bookmarkStart w:id="212" w:name="sub_262"/>
      <w:r>
        <w:t>2.6.2. Организация физического воспитания</w:t>
      </w:r>
    </w:p>
    <w:bookmarkEnd w:id="212"/>
    <w:p w:rsidR="00000000" w:rsidRDefault="002B6AF7"/>
    <w:p w:rsidR="00000000" w:rsidRDefault="002B6AF7">
      <w:bookmarkStart w:id="213" w:name="sub_2621"/>
      <w:r>
        <w:t>2.6.2.1. Ведущими принципами физического воспитания обучающихся являются обеспечение биологической потребности организма подростка в движениях, составляющей 10-12 часов организованной двигательной активности в неделю, и профессионально-прикладная направлен</w:t>
      </w:r>
      <w:r>
        <w:t>ность всех форм физического воспитания: уроков, занятий в спортивных секциях для развития профессионально-значимых функций (</w:t>
      </w:r>
      <w:hyperlink w:anchor="sub_2300" w:history="1">
        <w:r>
          <w:rPr>
            <w:rStyle w:val="a4"/>
          </w:rPr>
          <w:t>приложение 3</w:t>
        </w:r>
      </w:hyperlink>
      <w:r>
        <w:t>).</w:t>
      </w:r>
    </w:p>
    <w:p w:rsidR="00000000" w:rsidRDefault="002B6AF7">
      <w:bookmarkStart w:id="214" w:name="sub_2622"/>
      <w:bookmarkEnd w:id="213"/>
      <w:r>
        <w:t>2.6.2.2. На основании данных медицинского осмотра всех обучающихся распреде</w:t>
      </w:r>
      <w:r>
        <w:t>ляют для занятий физической культурой на три медицинские группы: основную, подготовительную и специальную. Обучающихся, не прошедших медицинский осмотр, к занятиям не допускают.</w:t>
      </w:r>
    </w:p>
    <w:bookmarkEnd w:id="214"/>
    <w:p w:rsidR="00000000" w:rsidRDefault="002B6AF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6AF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7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Минобразования РФ от 31 октября 2003 г. N 13-51-263/123 "Об оценивании и аттестации учащихся, отнесенных по состоянию здоровья к специальной медицинской группе для занятий физической культурой"</w:t>
      </w:r>
    </w:p>
    <w:p w:rsidR="00000000" w:rsidRDefault="002B6AF7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2B6AF7">
      <w:bookmarkStart w:id="215" w:name="sub_2623"/>
      <w:r>
        <w:t>2.6.2.3. Основной формой физического в</w:t>
      </w:r>
      <w:r>
        <w:t>оспитания являются уроки по физической культуре, которые рекомендуется включать в учебный план в объеме не менее 4 часов в неделю.</w:t>
      </w:r>
    </w:p>
    <w:p w:rsidR="00000000" w:rsidRDefault="002B6AF7">
      <w:bookmarkStart w:id="216" w:name="sub_2624"/>
      <w:bookmarkEnd w:id="215"/>
      <w:r>
        <w:t>2.6.2.4. В расписании занятий уроки физкультуры равномерно распределяют по дням недели. Уроки лыжной подготов</w:t>
      </w:r>
      <w:r>
        <w:t>ки и занятия в бассейнах проводят 1-2 раза в неделю по 90 минут.</w:t>
      </w:r>
    </w:p>
    <w:p w:rsidR="00000000" w:rsidRDefault="002B6AF7">
      <w:bookmarkStart w:id="217" w:name="sub_2625"/>
      <w:bookmarkEnd w:id="216"/>
      <w:r>
        <w:t>2.6.2.5. Для организации занятий по плаванию необходимо использовать бассейны, отвечающие нормативным требованиям.</w:t>
      </w:r>
    </w:p>
    <w:p w:rsidR="00000000" w:rsidRDefault="002B6AF7">
      <w:bookmarkStart w:id="218" w:name="sub_2626"/>
      <w:bookmarkEnd w:id="217"/>
      <w:r>
        <w:t xml:space="preserve">2.6.2.6. Уроки физической культуры проводят </w:t>
      </w:r>
      <w:r>
        <w:t>с учетом возрастно-половых особенностей обучающихся; целесообразно раздельное проведение занятий для юношей и девушек при численности подростков одного пола более 8 человек.</w:t>
      </w:r>
    </w:p>
    <w:p w:rsidR="00000000" w:rsidRDefault="002B6AF7">
      <w:bookmarkStart w:id="219" w:name="sub_2627"/>
      <w:bookmarkEnd w:id="218"/>
      <w:r>
        <w:t>2.6.2.7. Спортивная одежда и обувь должны соответствовать температ</w:t>
      </w:r>
      <w:r>
        <w:t>урным условиям, времени года, виду спортивных занятий.</w:t>
      </w:r>
    </w:p>
    <w:p w:rsidR="00000000" w:rsidRDefault="002B6AF7">
      <w:bookmarkStart w:id="220" w:name="sub_2628"/>
      <w:bookmarkEnd w:id="219"/>
      <w:r>
        <w:t>2.6.2.8. Уроки по лыжной подготовке не проводят при температуре ниже -20°С без ветра и при температуре ниже -18°С при наличии ветра, занятия по плаванию - при температуре воды ниже +18°</w:t>
      </w:r>
      <w:r>
        <w:t>С.</w:t>
      </w:r>
    </w:p>
    <w:bookmarkEnd w:id="220"/>
    <w:p w:rsidR="00000000" w:rsidRDefault="002B6AF7">
      <w:r>
        <w:t>Учебное время для перехода (переезда) обучающихся к месту проведения уроков не используют.</w:t>
      </w:r>
    </w:p>
    <w:p w:rsidR="00000000" w:rsidRDefault="002B6AF7">
      <w:bookmarkStart w:id="221" w:name="sub_2629"/>
      <w:r>
        <w:t>2.6.2.9. Рекомендуется организовывать еженедельно факультативные (дополнительные) занятия физической культурой и спортом в объеме 2-4 часа для опт</w:t>
      </w:r>
      <w:r>
        <w:t>имизации недельного объема организованной двигательной активности обучающихся.</w:t>
      </w:r>
    </w:p>
    <w:bookmarkEnd w:id="221"/>
    <w:p w:rsidR="00000000" w:rsidRDefault="002B6AF7">
      <w:r>
        <w:t>Учебные группы для факультативных занятий формируют из обучающихся, не занимающихся в спортивных секциях, численностью не менее 25 человек.</w:t>
      </w:r>
    </w:p>
    <w:p w:rsidR="00000000" w:rsidRDefault="002B6AF7">
      <w:r>
        <w:t>Реализация дополнительной про</w:t>
      </w:r>
      <w:r>
        <w:t>граммы осуществляется также проведением дней здоровья, туристических походов, спортивных олимпиад, спартакиад и других спортивных мероприятий.</w:t>
      </w:r>
    </w:p>
    <w:p w:rsidR="00000000" w:rsidRDefault="002B6AF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6AF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также </w:t>
      </w:r>
      <w:hyperlink r:id="rId3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РФ от 4 апреля</w:t>
      </w:r>
      <w:r>
        <w:rPr>
          <w:shd w:val="clear" w:color="auto" w:fill="F0F0F0"/>
        </w:rPr>
        <w:t xml:space="preserve"> 2003 г. N 139 "Об утверждении Инструкции по внедрению оздоровительных технологий в деятельность образовательных учреждений"</w:t>
      </w:r>
    </w:p>
    <w:p w:rsidR="00000000" w:rsidRDefault="002B6AF7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2B6AF7">
      <w:bookmarkStart w:id="222" w:name="sub_1227"/>
      <w:r>
        <w:t xml:space="preserve">2.7. </w:t>
      </w:r>
      <w:hyperlink r:id="rId39" w:history="1">
        <w:r>
          <w:rPr>
            <w:rStyle w:val="a4"/>
          </w:rPr>
          <w:t>Утратил силу</w:t>
        </w:r>
      </w:hyperlink>
      <w:r>
        <w:t>.</w:t>
      </w:r>
    </w:p>
    <w:bookmarkEnd w:id="222"/>
    <w:p w:rsidR="00000000" w:rsidRDefault="002B6AF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B6AF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</w:t>
      </w:r>
      <w:r>
        <w:rPr>
          <w:shd w:val="clear" w:color="auto" w:fill="F0F0F0"/>
        </w:rPr>
        <w:t xml:space="preserve">. текст </w:t>
      </w:r>
      <w:hyperlink r:id="rId40" w:history="1">
        <w:r>
          <w:rPr>
            <w:rStyle w:val="a4"/>
            <w:shd w:val="clear" w:color="auto" w:fill="F0F0F0"/>
          </w:rPr>
          <w:t>пункта 2.7</w:t>
        </w:r>
      </w:hyperlink>
    </w:p>
    <w:p w:rsidR="00000000" w:rsidRDefault="002B6AF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6AF7">
      <w:pPr>
        <w:pStyle w:val="1"/>
      </w:pPr>
      <w:bookmarkStart w:id="223" w:name="sub_1228"/>
      <w:r>
        <w:lastRenderedPageBreak/>
        <w:t>2.8. Организация медицинского обеспечения</w:t>
      </w:r>
    </w:p>
    <w:bookmarkEnd w:id="223"/>
    <w:p w:rsidR="00000000" w:rsidRDefault="002B6AF7"/>
    <w:p w:rsidR="00000000" w:rsidRDefault="002B6AF7">
      <w:bookmarkStart w:id="224" w:name="sub_281"/>
      <w:r>
        <w:t>2.8.1. Учреждения НПО комплектуют кадрами врачей и средних медицинских работников в соответствии с дейс</w:t>
      </w:r>
      <w:r>
        <w:t>твующими в области здравоохранения нормативами.</w:t>
      </w:r>
    </w:p>
    <w:p w:rsidR="00000000" w:rsidRDefault="002B6AF7">
      <w:bookmarkStart w:id="225" w:name="sub_282"/>
      <w:bookmarkEnd w:id="224"/>
      <w:r>
        <w:t>2.8.2. Поступающие в учреждения НПО проходят предварительные медицинские осмотры в установленном порядке. Состав комиссии, объем исследований и заключение о пригодности к обучению по выбранной с</w:t>
      </w:r>
      <w:r>
        <w:t>пециальности определяются соответствующими нормативными актами Минздрава России.</w:t>
      </w:r>
    </w:p>
    <w:p w:rsidR="00000000" w:rsidRDefault="002B6AF7">
      <w:bookmarkStart w:id="226" w:name="sub_283"/>
      <w:bookmarkEnd w:id="225"/>
      <w:r>
        <w:t>2.8.3. Обучающиеся до 18-летнего возраста подлежат ежегодным периодическим осмотрам.</w:t>
      </w:r>
    </w:p>
    <w:p w:rsidR="00000000" w:rsidRDefault="002B6AF7">
      <w:bookmarkStart w:id="227" w:name="sub_284"/>
      <w:bookmarkEnd w:id="226"/>
      <w:r>
        <w:t>2.8.4. Перед началом производственной практики в организациях и учреждениях, работники которых в связи с характером работы подлежат предварительному и периодическому медицинскому освидетельствованию, обучающиеся проходят осмотры в установленном для этих ко</w:t>
      </w:r>
      <w:r>
        <w:t>нтингентов порядке.</w:t>
      </w:r>
    </w:p>
    <w:p w:rsidR="00000000" w:rsidRDefault="002B6AF7">
      <w:bookmarkStart w:id="228" w:name="sub_285"/>
      <w:bookmarkEnd w:id="227"/>
      <w:r>
        <w:t>2.8.5. При выявлении патологии, препятствующей продолжению освоения избранной специальности, обучающихся переводят на обучение другой специальности в соответствии с состоянием здоровья или отчисляют из образовательного учр</w:t>
      </w:r>
      <w:r>
        <w:t>еждения с обязательными рекомендациями по выбору другого профиля подготовки или рациональному трудоустройству.</w:t>
      </w:r>
    </w:p>
    <w:p w:rsidR="00000000" w:rsidRDefault="002B6AF7">
      <w:bookmarkStart w:id="229" w:name="sub_286"/>
      <w:bookmarkEnd w:id="228"/>
      <w:r>
        <w:t>2.8.6. Администрация и педагогический персонал организуют и проводят работу по гигиеническому воспитанию и образованию учащихся, фо</w:t>
      </w:r>
      <w:r>
        <w:t>рмированию навыков здорового образа жизни с участием медицинских работников лечебно-профилактических учреждений, центров госсанэпиднадзора.</w:t>
      </w:r>
    </w:p>
    <w:p w:rsidR="00000000" w:rsidRDefault="002B6AF7">
      <w:bookmarkStart w:id="230" w:name="sub_287"/>
      <w:bookmarkEnd w:id="229"/>
      <w:r>
        <w:t>2.8.7. Медицинские осмотры работников кухни, педагогов и воспитателей осуществляются согласно установл</w:t>
      </w:r>
      <w:r>
        <w:t>енному порядку.</w:t>
      </w:r>
    </w:p>
    <w:bookmarkEnd w:id="230"/>
    <w:p w:rsidR="00000000" w:rsidRDefault="002B6AF7"/>
    <w:p w:rsidR="00000000" w:rsidRDefault="002B6AF7">
      <w:pPr>
        <w:pStyle w:val="1"/>
      </w:pPr>
      <w:bookmarkStart w:id="231" w:name="sub_1229"/>
      <w:r>
        <w:t>2.9. Требования к соблюдению санитарных правил и норм</w:t>
      </w:r>
    </w:p>
    <w:bookmarkEnd w:id="231"/>
    <w:p w:rsidR="00000000" w:rsidRDefault="002B6AF7"/>
    <w:p w:rsidR="00000000" w:rsidRDefault="002B6AF7">
      <w:bookmarkStart w:id="232" w:name="sub_291"/>
      <w:r>
        <w:t xml:space="preserve">2.9.1. В соответствии с </w:t>
      </w:r>
      <w:hyperlink r:id="rId41" w:history="1">
        <w:r>
          <w:rPr>
            <w:rStyle w:val="a4"/>
          </w:rPr>
          <w:t>Федеральным законом</w:t>
        </w:r>
      </w:hyperlink>
      <w:r>
        <w:t xml:space="preserve"> от 30.03.1999 N 52-ФЗ "О санитарно-эпидемиолог</w:t>
      </w:r>
      <w:r>
        <w:t>ическом благополучии населения" в учреждении должны быть санитарные правила, а также другие нормативные документы с учетом профиля подготовки к профессиям. Руководитель учреждения НПО является ответственным за выполнение настоящих санитарных правил.</w:t>
      </w:r>
    </w:p>
    <w:p w:rsidR="00000000" w:rsidRDefault="002B6AF7">
      <w:bookmarkStart w:id="233" w:name="sub_292"/>
      <w:bookmarkEnd w:id="232"/>
      <w:r>
        <w:t>2.9.2. Медицинский персонал учреждения НПО осуществляет повседневный контроль за соблюдением санитарных правил.</w:t>
      </w:r>
    </w:p>
    <w:p w:rsidR="00000000" w:rsidRDefault="002B6AF7">
      <w:bookmarkStart w:id="234" w:name="sub_293"/>
      <w:bookmarkEnd w:id="233"/>
      <w:r>
        <w:t>2.9.3. Надзор за выполнением настоящих санитарных правил осуществляют территориальные центры госсанэпиднадзора.</w:t>
      </w:r>
    </w:p>
    <w:p w:rsidR="00000000" w:rsidRDefault="002B6AF7">
      <w:bookmarkStart w:id="235" w:name="sub_294"/>
      <w:bookmarkEnd w:id="234"/>
      <w:r>
        <w:t>2.9.4. За нарушение санитарного законодательства устанавливается дисциплинарная, административная и уголовная ответственность.</w:t>
      </w:r>
    </w:p>
    <w:p w:rsidR="00000000" w:rsidRDefault="002B6AF7">
      <w:bookmarkStart w:id="236" w:name="sub_295"/>
      <w:bookmarkEnd w:id="235"/>
      <w:r>
        <w:t>2.9.5. Руководитель учреждения обязан организовывать производственный контроль, в том числе посредством проведе</w:t>
      </w:r>
      <w:r>
        <w:t>ния лабораторных исследований и испытаний, за соблюдением санитарных правил и выполнением санитарно-противоэпидемических (профилактических) мероприятий.</w:t>
      </w:r>
    </w:p>
    <w:bookmarkEnd w:id="236"/>
    <w:p w:rsidR="00000000" w:rsidRDefault="002B6AF7"/>
    <w:p w:rsidR="00000000" w:rsidRDefault="002B6AF7">
      <w:pPr>
        <w:pStyle w:val="ac"/>
      </w:pPr>
      <w:r>
        <w:t>______________________________</w:t>
      </w:r>
    </w:p>
    <w:p w:rsidR="00000000" w:rsidRDefault="002B6AF7">
      <w:bookmarkStart w:id="237" w:name="sub_44"/>
      <w:r>
        <w:t>* В "оборотных" классах (вход в класс у последних парт) ра</w:t>
      </w:r>
      <w:r>
        <w:t>сстояние между стеной и рабочим местом должно быть 1,2 м.</w:t>
      </w:r>
    </w:p>
    <w:bookmarkEnd w:id="237"/>
    <w:p w:rsidR="00000000" w:rsidRDefault="002B6AF7"/>
    <w:p w:rsidR="00000000" w:rsidRDefault="002B6AF7"/>
    <w:p w:rsidR="00000000" w:rsidRDefault="002B6AF7">
      <w:pPr>
        <w:ind w:firstLine="698"/>
        <w:jc w:val="right"/>
      </w:pPr>
      <w:bookmarkStart w:id="238" w:name="sub_3"/>
      <w:bookmarkStart w:id="239" w:name="sub_2100"/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2.4.3.1186-03</w:t>
        </w:r>
      </w:hyperlink>
    </w:p>
    <w:bookmarkEnd w:id="238"/>
    <w:bookmarkEnd w:id="239"/>
    <w:p w:rsidR="00000000" w:rsidRDefault="002B6AF7"/>
    <w:p w:rsidR="00000000" w:rsidRDefault="002B6AF7">
      <w:pPr>
        <w:pStyle w:val="1"/>
      </w:pPr>
      <w:r>
        <w:t>Уровни искусственной освещенности при различных видах зрительных работ, выполняемых подростками при и</w:t>
      </w:r>
      <w:r>
        <w:t>спользовании люминесцентных ламп</w:t>
      </w:r>
    </w:p>
    <w:p w:rsidR="00000000" w:rsidRDefault="002B6A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403"/>
        <w:gridCol w:w="3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Наименование мастерских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Система искусственного освещения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Освещенность в люкс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швейные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общее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B6AF7">
            <w:pPr>
              <w:pStyle w:val="aa"/>
              <w:jc w:val="center"/>
            </w:pPr>
            <w:r>
              <w:t>600 для светлой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комбинированное*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4750 для темной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сборочные цеха часового производства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комбинированное*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4000</w:t>
            </w:r>
          </w:p>
          <w:p w:rsidR="00000000" w:rsidRDefault="002B6AF7">
            <w:pPr>
              <w:pStyle w:val="aa"/>
              <w:jc w:val="center"/>
            </w:pPr>
            <w:r>
              <w:t>5000 при использовании оптических приборов 30-65% рабочего времени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столярные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общее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слесарные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общее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B6AF7">
            <w:pPr>
              <w:pStyle w:val="aa"/>
              <w:jc w:val="center"/>
            </w:pPr>
            <w: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комбинированное*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токарные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комбинированное*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фрезерные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комбинированное*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AF7">
            <w:pPr>
              <w:pStyle w:val="aa"/>
              <w:jc w:val="center"/>
            </w:pPr>
            <w:r>
              <w:t>1000</w:t>
            </w:r>
          </w:p>
        </w:tc>
      </w:tr>
    </w:tbl>
    <w:p w:rsidR="00000000" w:rsidRDefault="002B6AF7"/>
    <w:p w:rsidR="00000000" w:rsidRDefault="002B6AF7">
      <w:bookmarkStart w:id="240" w:name="sub_444"/>
      <w:r>
        <w:t>* Доля общего освещения при указанных видах зрительных работ подростков составляет не менее 50%.</w:t>
      </w:r>
    </w:p>
    <w:bookmarkEnd w:id="240"/>
    <w:p w:rsidR="00000000" w:rsidRDefault="002B6AF7">
      <w:r>
        <w:t>* При использовании ламп накаливания нормы освещенности снижаются на 1-2 ступени шкалы освещенности в зависимости от точности работ по СНиП о естественн</w:t>
      </w:r>
      <w:r>
        <w:t>ом и искусственном освещение.</w:t>
      </w:r>
    </w:p>
    <w:p w:rsidR="00000000" w:rsidRDefault="002B6AF7"/>
    <w:p w:rsidR="00000000" w:rsidRDefault="002B6AF7">
      <w:pPr>
        <w:ind w:firstLine="698"/>
        <w:jc w:val="right"/>
      </w:pPr>
      <w:bookmarkStart w:id="241" w:name="sub_2200"/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2.4.3.1186-03</w:t>
        </w:r>
      </w:hyperlink>
    </w:p>
    <w:bookmarkEnd w:id="241"/>
    <w:p w:rsidR="00000000" w:rsidRDefault="002B6AF7"/>
    <w:p w:rsidR="00000000" w:rsidRDefault="002B6AF7">
      <w:pPr>
        <w:pStyle w:val="1"/>
      </w:pPr>
      <w:r>
        <w:t>Группировка предметов по степени сложности усвоения учебного материала</w:t>
      </w:r>
    </w:p>
    <w:p w:rsidR="00000000" w:rsidRDefault="002B6AF7"/>
    <w:p w:rsidR="00000000" w:rsidRDefault="002B6AF7">
      <w:r>
        <w:t>Первая степень сложности - учебные дисциплины, изучение которых требует от</w:t>
      </w:r>
      <w:r>
        <w:t xml:space="preserve"> учащихся умения оперировать абстрактными понятиями, способности усваивать сущность явлений, законов, категорий, а также запоминать большое количество фактического материала: математика, физика, история, обществоведение, изучение языков.</w:t>
      </w:r>
    </w:p>
    <w:p w:rsidR="00000000" w:rsidRDefault="002B6AF7">
      <w:r>
        <w:t>Вторая степень сло</w:t>
      </w:r>
      <w:r>
        <w:t>жности - предметы, в которых доля абстрактных понятий значительно снижается по сравнению с учебными дисциплинами первой группы, при этом учащиеся должны усваивать законы, факты, что вносит некоторое разнообразие в характер их умственной деятельности: химия</w:t>
      </w:r>
      <w:r>
        <w:t>, специальная технология и др.</w:t>
      </w:r>
    </w:p>
    <w:p w:rsidR="00000000" w:rsidRDefault="002B6AF7">
      <w:r>
        <w:t xml:space="preserve">Третья степень сложности - предметы, имеющие прикладной характер; при их изучении учащиеся, используя известные законы и теории, усваивают фактический материал: материаловедение, организация и технология производства работ и </w:t>
      </w:r>
      <w:r>
        <w:t>др.</w:t>
      </w:r>
    </w:p>
    <w:p w:rsidR="00000000" w:rsidRDefault="002B6AF7">
      <w:r>
        <w:t>Четвертая степень сложности - предметы, изучение которых помимо умственного труда требует значительного объема физических действий: физическое воспитание, начальная военная подготовка.</w:t>
      </w:r>
    </w:p>
    <w:p w:rsidR="00000000" w:rsidRDefault="002B6AF7"/>
    <w:p w:rsidR="00000000" w:rsidRDefault="002B6AF7">
      <w:pPr>
        <w:ind w:firstLine="698"/>
        <w:jc w:val="right"/>
      </w:pPr>
      <w:bookmarkStart w:id="242" w:name="sub_2300"/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2.4.3.1186-03</w:t>
        </w:r>
      </w:hyperlink>
    </w:p>
    <w:bookmarkEnd w:id="242"/>
    <w:p w:rsidR="00000000" w:rsidRDefault="002B6AF7"/>
    <w:p w:rsidR="00000000" w:rsidRDefault="002B6AF7">
      <w:pPr>
        <w:pStyle w:val="1"/>
      </w:pPr>
      <w:r>
        <w:t>Рекомендации по организации физического воспитания обучающихся в учреждениях НПО</w:t>
      </w:r>
    </w:p>
    <w:p w:rsidR="00000000" w:rsidRDefault="002B6AF7"/>
    <w:p w:rsidR="00000000" w:rsidRDefault="002B6AF7">
      <w:bookmarkStart w:id="243" w:name="sub_100000"/>
      <w:r>
        <w:t>1. В распорядке дня учреждения НПО рекомендуется отразить физкультурно-оздоровительные мероприятия, которые должны организовываться в течение учебного дня - гимнастика до занятий, уроки физкультуры, подвижная перемена, факультативные занятия, расписание се</w:t>
      </w:r>
      <w:r>
        <w:t>кций.</w:t>
      </w:r>
    </w:p>
    <w:p w:rsidR="00000000" w:rsidRDefault="002B6AF7">
      <w:bookmarkStart w:id="244" w:name="sub_5"/>
      <w:bookmarkEnd w:id="243"/>
      <w:r>
        <w:t>2. Гимнастику до начала теоретических занятий или производственной практики проводят ежедневно с целью ускорения врабатываемости организма. Продолжительность занятий около 10 минут. Используют как общеразвивающие, так и специальные гим</w:t>
      </w:r>
      <w:r>
        <w:t>настические упражнения для тех групп мышц, которые преимущественно участвуют в предстоящей работе. Занятия проводят в учебных помещениях или мастерских под контролем преподавателя (мастера).</w:t>
      </w:r>
    </w:p>
    <w:p w:rsidR="00000000" w:rsidRDefault="002B6AF7">
      <w:bookmarkStart w:id="245" w:name="sub_6"/>
      <w:bookmarkEnd w:id="244"/>
      <w:r>
        <w:t>3. Физкультурные паузы продолжительностью 3-5 минут про</w:t>
      </w:r>
      <w:r>
        <w:t>водят при теоретическом обучении в середине третьего и пятого уроков с целью снятия утомления, улучшения кровообращения и дыхания организма обучающихся. При производственном обучении в мастерских или на базовых предприятиях физкультурные паузы также провод</w:t>
      </w:r>
      <w:r>
        <w:t>ят во второй половине занятий с целью снятия утомления и повышения работоспособности организма.</w:t>
      </w:r>
    </w:p>
    <w:bookmarkEnd w:id="245"/>
    <w:p w:rsidR="00000000" w:rsidRDefault="002B6AF7">
      <w:r>
        <w:t>При наличии неблагоприятных производственных факторов (шум, вибрация, запыленность, загазованность, наличие микроклимата) физкультурная пауза проводится вн</w:t>
      </w:r>
      <w:r>
        <w:t>е производственного помещения, т.е. в местах, специально отведенных для отдыха.</w:t>
      </w:r>
    </w:p>
    <w:p w:rsidR="00000000" w:rsidRDefault="002B6AF7">
      <w:bookmarkStart w:id="246" w:name="sub_7"/>
      <w:r>
        <w:t>4. Подвижная перемена проводится продолжительностью не менее 20 минут после двух уроков теоретического обучения. Организация и проведение перемены возложены на руководител</w:t>
      </w:r>
      <w:r>
        <w:t>я физического воспитания и на преподавателя, проводящего предшествующий урок. Цель занятий - оптимизация двигательного режима и профилактика переутомления обучающихся.</w:t>
      </w:r>
    </w:p>
    <w:p w:rsidR="00000000" w:rsidRDefault="002B6AF7">
      <w:bookmarkStart w:id="247" w:name="sub_8"/>
      <w:bookmarkEnd w:id="246"/>
      <w:r>
        <w:t>5. При организации урока физической культуры продолжительностью 45 минут на по</w:t>
      </w:r>
      <w:r>
        <w:t>дготовительную часть отводят 8-15 минут, на основную - 25-30 минут и на заключительную - 3-5 минут. Моторная плотность урока должна составлять 60-80%. В основной части урока задают физическую нагрузку на уровне частоты пульса 170-180 уд/мин. На профессиона</w:t>
      </w:r>
      <w:r>
        <w:t>льно-прикладную физическую подготовку (ППФП) отводят 20-40% от общего времени урока.</w:t>
      </w:r>
    </w:p>
    <w:p w:rsidR="00000000" w:rsidRDefault="002B6AF7">
      <w:bookmarkStart w:id="248" w:name="sub_9"/>
      <w:bookmarkEnd w:id="247"/>
      <w:r>
        <w:t>6. Рекомендуется проводить 1-2 специализированных урока физической культуры в неделю с высокой интенсивностью нагрузки (моторная плотность 80-100%) и избирательн</w:t>
      </w:r>
      <w:r>
        <w:t>ой направленностью на развитие ключевых профессионально-значимых функций, характерных для осваиваемой профессии.</w:t>
      </w:r>
    </w:p>
    <w:p w:rsidR="00000000" w:rsidRDefault="002B6AF7">
      <w:bookmarkStart w:id="249" w:name="sub_15"/>
      <w:bookmarkEnd w:id="248"/>
      <w:r>
        <w:t>7. На период производственной практики и каникул руководитель физического воспитания учреждения НПО дает обучающимся "домашнее задан</w:t>
      </w:r>
      <w:r>
        <w:t>ие" для самостоятельных занятий физическими упражнениями. Задания должны быть связаны с учебной программой, быть конкретными и проверяемыми.</w:t>
      </w:r>
    </w:p>
    <w:p w:rsidR="00000000" w:rsidRDefault="002B6AF7">
      <w:bookmarkStart w:id="250" w:name="sub_16"/>
      <w:bookmarkEnd w:id="249"/>
      <w:r>
        <w:t>8. Педагогический коллектив учреждения НПО формирует у обучающихся положительную мотивацию к регулярным</w:t>
      </w:r>
      <w:r>
        <w:t xml:space="preserve"> занятиям физкультурой и спортом во внеучебное время. Эти занятия включают утреннюю физическую зарядку в сочетании с закаливающими процедурами, самостоятельные занятия и тренировки с учетом профессионально-прикладной направленности и полезности для дальней</w:t>
      </w:r>
      <w:r>
        <w:t>шей профессиональной деятельности.</w:t>
      </w:r>
    </w:p>
    <w:p w:rsidR="00000000" w:rsidRDefault="002B6AF7">
      <w:bookmarkStart w:id="251" w:name="sub_17"/>
      <w:bookmarkEnd w:id="250"/>
      <w:r>
        <w:t>9. При организации внеклассной спортивной работы следует культивировать те виды спорта, которые обладают профессионально-прикладной эффективностью и учитывают специфику выбранной профессии. Примеры представлен</w:t>
      </w:r>
      <w:r>
        <w:t>ы в таблице:</w:t>
      </w:r>
    </w:p>
    <w:bookmarkEnd w:id="251"/>
    <w:p w:rsidR="00000000" w:rsidRDefault="002B6AF7"/>
    <w:p w:rsidR="00000000" w:rsidRDefault="002B6AF7">
      <w:pPr>
        <w:pStyle w:val="1"/>
      </w:pPr>
      <w:bookmarkStart w:id="252" w:name="sub_18"/>
      <w:r>
        <w:t>Рекомендуемые виды спорта</w:t>
      </w:r>
    </w:p>
    <w:bookmarkEnd w:id="252"/>
    <w:p w:rsidR="00000000" w:rsidRDefault="002B6A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0"/>
        <w:gridCol w:w="69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</w:pPr>
            <w:r>
              <w:t>1. Машиностроение и металлообработка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AF7">
            <w:pPr>
              <w:pStyle w:val="aa"/>
            </w:pPr>
            <w:r>
              <w:t>спортивные игры, легкая атлетика, борьба вольная и классическая, лыжные гонки, городки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</w:pPr>
            <w:r>
              <w:t xml:space="preserve">2. Радиотехническое и </w:t>
            </w:r>
            <w:r>
              <w:lastRenderedPageBreak/>
              <w:t>электронное производство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AF7">
            <w:pPr>
              <w:pStyle w:val="aa"/>
            </w:pPr>
            <w:r>
              <w:lastRenderedPageBreak/>
              <w:t>баскетбол, волейбол, ручной мяч, теннис, настольный теннис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</w:pPr>
            <w:r>
              <w:t>3. Химические и нефтехимические производства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AF7">
            <w:pPr>
              <w:pStyle w:val="aa"/>
            </w:pPr>
            <w:r>
              <w:t>легкая и тяжелая атлетика, баскетбол, ручной мяч, волейбол, настольный теннис, плавание; для слесарей-ремонтников - вольная и классическая борьба, лыжн</w:t>
            </w:r>
            <w:r>
              <w:t>ый спорт, городки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</w:pPr>
            <w:r>
              <w:t>4. Металлургическое производство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AF7">
            <w:pPr>
              <w:pStyle w:val="aa"/>
            </w:pPr>
            <w:r>
              <w:t>легкая и тяжелая атлетика, лыжный и конькобежный спорт, гимнастика, велоспорт, туризм, фехтование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</w:pPr>
            <w:r>
              <w:t>5. Добыча и переработка угля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AF7">
            <w:pPr>
              <w:pStyle w:val="aa"/>
            </w:pPr>
            <w:r>
              <w:t>гимнастика, борьба - для машинистов угольных комбайнов, электрослесарей шахт</w:t>
            </w:r>
            <w:r>
              <w:t>ного оборудования; баскетбол, настольный теннис - для машинистов шахтных электровозов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</w:pPr>
            <w:r>
              <w:t>6. Текстильное производство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AF7">
            <w:pPr>
              <w:pStyle w:val="aa"/>
            </w:pPr>
            <w:r>
              <w:t>легкая атлетика (бег на средние и длинные дистанции, спортивная ходьба), баскетбол, плавание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</w:pPr>
            <w:r>
              <w:t>7. Производство обуви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AF7">
            <w:pPr>
              <w:pStyle w:val="aa"/>
            </w:pPr>
            <w:r>
              <w:t>баскетбол, волейбол, легк</w:t>
            </w:r>
            <w:r>
              <w:t>ая атлетика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</w:pPr>
            <w:r>
              <w:t>8. Строительство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AF7">
            <w:pPr>
              <w:pStyle w:val="aa"/>
            </w:pPr>
            <w:r>
              <w:t>спортивная гимнастика, плавание, лыжный спорт - для каменщиков; прыжки в воду и батут - для монтажников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AF7">
            <w:pPr>
              <w:pStyle w:val="aa"/>
            </w:pPr>
            <w:r>
              <w:t>9. Сельское хозяйство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6AF7">
            <w:pPr>
              <w:pStyle w:val="aa"/>
            </w:pPr>
            <w:r>
              <w:t>легкая атлетика, баскетбол, гимнастика - для водителей с/х машин, фехтование</w:t>
            </w:r>
          </w:p>
        </w:tc>
      </w:tr>
    </w:tbl>
    <w:p w:rsidR="00000000" w:rsidRDefault="002B6AF7"/>
    <w:p w:rsidR="00000000" w:rsidRDefault="002B6AF7">
      <w:pPr>
        <w:ind w:firstLine="698"/>
        <w:jc w:val="right"/>
      </w:pPr>
      <w:bookmarkStart w:id="253" w:name="sub_2400"/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2.4.3.1186-03</w:t>
        </w:r>
      </w:hyperlink>
    </w:p>
    <w:bookmarkEnd w:id="253"/>
    <w:p w:rsidR="00000000" w:rsidRDefault="002B6AF7"/>
    <w:p w:rsidR="00000000" w:rsidRDefault="002B6AF7">
      <w:pPr>
        <w:pStyle w:val="1"/>
      </w:pPr>
      <w:r>
        <w:t>Рекомендуемые величины потребления пищевых веществ и энергии для обучающихся в учреждениях НПО</w:t>
      </w:r>
    </w:p>
    <w:p w:rsidR="00000000" w:rsidRDefault="002B6AF7"/>
    <w:p w:rsidR="00000000" w:rsidRDefault="002B6AF7">
      <w:hyperlink r:id="rId42" w:history="1">
        <w:r>
          <w:rPr>
            <w:rStyle w:val="a4"/>
          </w:rPr>
          <w:t>Утратило силу</w:t>
        </w:r>
      </w:hyperlink>
    </w:p>
    <w:p w:rsidR="00000000" w:rsidRDefault="002B6AF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p w:rsidR="00000000" w:rsidRDefault="002B6AF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3" w:history="1">
        <w:r>
          <w:rPr>
            <w:rStyle w:val="a4"/>
            <w:shd w:val="clear" w:color="auto" w:fill="F0F0F0"/>
          </w:rPr>
          <w:t>приложения 4</w:t>
        </w:r>
      </w:hyperlink>
    </w:p>
    <w:p w:rsidR="00000000" w:rsidRDefault="002B6AF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6AF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4" w:history="1">
        <w:r>
          <w:rPr>
            <w:rStyle w:val="a4"/>
            <w:shd w:val="clear" w:color="auto" w:fill="F0F0F0"/>
          </w:rPr>
          <w:t>потребность</w:t>
        </w:r>
      </w:hyperlink>
      <w:r>
        <w:rPr>
          <w:shd w:val="clear" w:color="auto" w:fill="F0F0F0"/>
        </w:rPr>
        <w:t xml:space="preserve"> в пищевых веществах и энергии для различных групп обучающ</w:t>
      </w:r>
      <w:r>
        <w:rPr>
          <w:shd w:val="clear" w:color="auto" w:fill="F0F0F0"/>
        </w:rPr>
        <w:t xml:space="preserve">ихся общеобразовательных учреждений и учреждений начального и среднего профессионального образования, утвержденную </w:t>
      </w:r>
      <w:hyperlink r:id="rId4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23 июля 2008</w:t>
      </w:r>
      <w:r>
        <w:rPr>
          <w:shd w:val="clear" w:color="auto" w:fill="F0F0F0"/>
        </w:rPr>
        <w:t> г. N 45</w:t>
      </w:r>
    </w:p>
    <w:p w:rsidR="00000000" w:rsidRDefault="002B6AF7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2B6AF7">
      <w:pPr>
        <w:ind w:firstLine="698"/>
        <w:jc w:val="right"/>
      </w:pPr>
      <w:bookmarkStart w:id="254" w:name="sub_2500"/>
      <w:r>
        <w:rPr>
          <w:rStyle w:val="a3"/>
        </w:rPr>
        <w:t>Приложение 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2.4.3.1186-03</w:t>
        </w:r>
      </w:hyperlink>
    </w:p>
    <w:bookmarkEnd w:id="254"/>
    <w:p w:rsidR="00000000" w:rsidRDefault="002B6AF7"/>
    <w:p w:rsidR="00000000" w:rsidRDefault="002B6AF7">
      <w:pPr>
        <w:pStyle w:val="1"/>
      </w:pPr>
      <w:r>
        <w:t>Нормы питания на 1 учащегося в день</w:t>
      </w:r>
    </w:p>
    <w:p w:rsidR="00000000" w:rsidRDefault="002B6AF7"/>
    <w:p w:rsidR="00000000" w:rsidRDefault="002B6AF7">
      <w:hyperlink r:id="rId46" w:history="1">
        <w:r>
          <w:rPr>
            <w:rStyle w:val="a4"/>
          </w:rPr>
          <w:t>Утратило силу</w:t>
        </w:r>
      </w:hyperlink>
    </w:p>
    <w:p w:rsidR="00000000" w:rsidRDefault="002B6AF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B6AF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7" w:history="1">
        <w:r>
          <w:rPr>
            <w:rStyle w:val="a4"/>
            <w:shd w:val="clear" w:color="auto" w:fill="F0F0F0"/>
          </w:rPr>
          <w:t>приложения 5</w:t>
        </w:r>
      </w:hyperlink>
    </w:p>
    <w:p w:rsidR="00000000" w:rsidRDefault="002B6AF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6AF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8" w:history="1">
        <w:r>
          <w:rPr>
            <w:rStyle w:val="a4"/>
            <w:shd w:val="clear" w:color="auto" w:fill="F0F0F0"/>
          </w:rPr>
          <w:t>рекомендуемую массу порций блюд</w:t>
        </w:r>
      </w:hyperlink>
      <w:r>
        <w:rPr>
          <w:shd w:val="clear" w:color="auto" w:fill="F0F0F0"/>
        </w:rPr>
        <w:t xml:space="preserve"> (в граммах) для обучающихся различного возраста, утвержденную </w:t>
      </w:r>
      <w:hyperlink r:id="rId4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23 июля 2008 г. N 45</w:t>
      </w:r>
    </w:p>
    <w:p w:rsidR="00000000" w:rsidRDefault="002B6AF7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2B6AF7">
      <w:pPr>
        <w:ind w:firstLine="698"/>
        <w:jc w:val="right"/>
      </w:pPr>
      <w:bookmarkStart w:id="255" w:name="sub_2600"/>
      <w:r>
        <w:rPr>
          <w:rStyle w:val="a3"/>
        </w:rPr>
        <w:t>Приложение 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2.4.3.1186-03</w:t>
        </w:r>
      </w:hyperlink>
    </w:p>
    <w:bookmarkEnd w:id="255"/>
    <w:p w:rsidR="00000000" w:rsidRDefault="002B6AF7"/>
    <w:p w:rsidR="00000000" w:rsidRDefault="002B6AF7">
      <w:pPr>
        <w:pStyle w:val="1"/>
      </w:pPr>
      <w:r>
        <w:t>Таблица замены некоторых про</w:t>
      </w:r>
      <w:r>
        <w:t>дуктов</w:t>
      </w:r>
    </w:p>
    <w:p w:rsidR="00000000" w:rsidRDefault="002B6AF7"/>
    <w:p w:rsidR="00000000" w:rsidRDefault="002B6AF7">
      <w:hyperlink r:id="rId50" w:history="1">
        <w:r>
          <w:rPr>
            <w:rStyle w:val="a4"/>
          </w:rPr>
          <w:t>Утратило силу</w:t>
        </w:r>
      </w:hyperlink>
    </w:p>
    <w:p w:rsidR="00000000" w:rsidRDefault="002B6AF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B6AF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51" w:history="1">
        <w:r>
          <w:rPr>
            <w:rStyle w:val="a4"/>
            <w:shd w:val="clear" w:color="auto" w:fill="F0F0F0"/>
          </w:rPr>
          <w:t>приложения 6</w:t>
        </w:r>
      </w:hyperlink>
    </w:p>
    <w:p w:rsidR="00000000" w:rsidRDefault="002B6AF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6AF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2" w:history="1">
        <w:r>
          <w:rPr>
            <w:rStyle w:val="a4"/>
            <w:shd w:val="clear" w:color="auto" w:fill="F0F0F0"/>
          </w:rPr>
          <w:t>таблицу</w:t>
        </w:r>
      </w:hyperlink>
      <w:r>
        <w:rPr>
          <w:shd w:val="clear" w:color="auto" w:fill="F0F0F0"/>
        </w:rPr>
        <w:t xml:space="preserve"> замены продуктов по белкам и углеводам, утвержденную </w:t>
      </w:r>
      <w:hyperlink r:id="rId5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23 июля 2008 г. N 45</w:t>
      </w:r>
    </w:p>
    <w:p w:rsidR="00000000" w:rsidRDefault="002B6AF7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2B6AF7">
      <w:pPr>
        <w:ind w:firstLine="698"/>
        <w:jc w:val="right"/>
      </w:pPr>
      <w:bookmarkStart w:id="256" w:name="sub_2700"/>
      <w:r>
        <w:rPr>
          <w:rStyle w:val="a3"/>
        </w:rPr>
        <w:t>Приложен</w:t>
      </w:r>
      <w:r>
        <w:rPr>
          <w:rStyle w:val="a3"/>
        </w:rPr>
        <w:t>ие 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2.4.3.1186-03</w:t>
        </w:r>
      </w:hyperlink>
    </w:p>
    <w:bookmarkEnd w:id="256"/>
    <w:p w:rsidR="00000000" w:rsidRDefault="002B6AF7"/>
    <w:p w:rsidR="00000000" w:rsidRDefault="002B6AF7">
      <w:pPr>
        <w:pStyle w:val="1"/>
      </w:pPr>
      <w:r>
        <w:t>Ассортимент основных продуктов питания, рекомендуемых для использования в питании детей и подростков в организованных коллективах</w:t>
      </w:r>
    </w:p>
    <w:p w:rsidR="00000000" w:rsidRDefault="002B6AF7"/>
    <w:p w:rsidR="00000000" w:rsidRDefault="002B6AF7">
      <w:hyperlink r:id="rId54" w:history="1">
        <w:r>
          <w:rPr>
            <w:rStyle w:val="a4"/>
          </w:rPr>
          <w:t>Утратило силу</w:t>
        </w:r>
      </w:hyperlink>
    </w:p>
    <w:p w:rsidR="00000000" w:rsidRDefault="002B6AF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B6AF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55" w:history="1">
        <w:r>
          <w:rPr>
            <w:rStyle w:val="a4"/>
            <w:shd w:val="clear" w:color="auto" w:fill="F0F0F0"/>
          </w:rPr>
          <w:t>приложения 7</w:t>
        </w:r>
      </w:hyperlink>
    </w:p>
    <w:p w:rsidR="00000000" w:rsidRDefault="002B6AF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6AF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6" w:history="1">
        <w:r>
          <w:rPr>
            <w:rStyle w:val="a4"/>
            <w:shd w:val="clear" w:color="auto" w:fill="F0F0F0"/>
          </w:rPr>
          <w:t>рекомендуемые наборы</w:t>
        </w:r>
      </w:hyperlink>
      <w:r>
        <w:rPr>
          <w:shd w:val="clear" w:color="auto" w:fill="F0F0F0"/>
        </w:rPr>
        <w:t xml:space="preserve"> пищевых продуктов для обучающихся образовательных учреждений начального и среднего профессионального образования при 2-х и 4-х разовом питании, утвержденные </w:t>
      </w:r>
      <w:hyperlink r:id="rId5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</w:t>
      </w:r>
      <w:r>
        <w:rPr>
          <w:shd w:val="clear" w:color="auto" w:fill="F0F0F0"/>
        </w:rPr>
        <w:t>енного санитарного врача РФ от 23 июля 2008 г. N 45</w:t>
      </w:r>
    </w:p>
    <w:p w:rsidR="002B6AF7" w:rsidRDefault="002B6AF7">
      <w:pPr>
        <w:pStyle w:val="a6"/>
        <w:rPr>
          <w:shd w:val="clear" w:color="auto" w:fill="F0F0F0"/>
        </w:rPr>
      </w:pPr>
      <w:r>
        <w:t xml:space="preserve"> </w:t>
      </w:r>
    </w:p>
    <w:sectPr w:rsidR="002B6AF7">
      <w:headerReference w:type="default" r:id="rId58"/>
      <w:footerReference w:type="default" r:id="rId5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AF7" w:rsidRDefault="002B6AF7">
      <w:r>
        <w:separator/>
      </w:r>
    </w:p>
  </w:endnote>
  <w:endnote w:type="continuationSeparator" w:id="0">
    <w:p w:rsidR="002B6AF7" w:rsidRDefault="002B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B6AF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F06B2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06B2A">
            <w:rPr>
              <w:rFonts w:ascii="Times New Roman" w:hAnsi="Times New Roman" w:cs="Times New Roman"/>
              <w:noProof/>
              <w:sz w:val="20"/>
              <w:szCs w:val="20"/>
            </w:rPr>
            <w:t>26.08.2020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B6AF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B6AF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06B2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06B2A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F06B2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06B2A">
            <w:rPr>
              <w:rFonts w:ascii="Times New Roman" w:hAnsi="Times New Roman" w:cs="Times New Roman"/>
              <w:noProof/>
              <w:sz w:val="20"/>
              <w:szCs w:val="20"/>
            </w:rPr>
            <w:t>26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AF7" w:rsidRDefault="002B6AF7">
      <w:r>
        <w:separator/>
      </w:r>
    </w:p>
  </w:footnote>
  <w:footnote w:type="continuationSeparator" w:id="0">
    <w:p w:rsidR="002B6AF7" w:rsidRDefault="002B6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B6AF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Главного государственного санитарного врача РФ от 28 января 2003 г. N 2 "О введении в…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2A"/>
    <w:rsid w:val="002B6AF7"/>
    <w:rsid w:val="00F0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B06A17-E634-49DE-9668-A10DCDD3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12170812/1001" TargetMode="External"/><Relationship Id="rId18" Type="http://schemas.openxmlformats.org/officeDocument/2006/relationships/hyperlink" Target="http://ivo.garant.ru/document/redirect/5425708/225" TargetMode="External"/><Relationship Id="rId26" Type="http://schemas.openxmlformats.org/officeDocument/2006/relationships/hyperlink" Target="http://ivo.garant.ru/document/redirect/12153974/1001" TargetMode="External"/><Relationship Id="rId39" Type="http://schemas.openxmlformats.org/officeDocument/2006/relationships/hyperlink" Target="http://ivo.garant.ru/document/redirect/12161898/22" TargetMode="External"/><Relationship Id="rId21" Type="http://schemas.openxmlformats.org/officeDocument/2006/relationships/hyperlink" Target="http://ivo.garant.ru/document/redirect/12184511/1002" TargetMode="External"/><Relationship Id="rId34" Type="http://schemas.openxmlformats.org/officeDocument/2006/relationships/hyperlink" Target="http://ivo.garant.ru/document/redirect/12170812/1033" TargetMode="External"/><Relationship Id="rId42" Type="http://schemas.openxmlformats.org/officeDocument/2006/relationships/hyperlink" Target="http://ivo.garant.ru/document/redirect/12161898/22" TargetMode="External"/><Relationship Id="rId47" Type="http://schemas.openxmlformats.org/officeDocument/2006/relationships/hyperlink" Target="http://ivo.garant.ru/document/redirect/5425708/2500" TargetMode="External"/><Relationship Id="rId50" Type="http://schemas.openxmlformats.org/officeDocument/2006/relationships/hyperlink" Target="http://ivo.garant.ru/document/redirect/12161898/22" TargetMode="External"/><Relationship Id="rId55" Type="http://schemas.openxmlformats.org/officeDocument/2006/relationships/hyperlink" Target="http://ivo.garant.ru/document/redirect/5425708/2700" TargetMode="External"/><Relationship Id="rId7" Type="http://schemas.openxmlformats.org/officeDocument/2006/relationships/hyperlink" Target="http://ivo.garant.ru/document/redirect/12115118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4178908/1000" TargetMode="External"/><Relationship Id="rId29" Type="http://schemas.openxmlformats.org/officeDocument/2006/relationships/hyperlink" Target="http://ivo.garant.ru/document/redirect/12170812/2" TargetMode="External"/><Relationship Id="rId11" Type="http://schemas.openxmlformats.org/officeDocument/2006/relationships/hyperlink" Target="http://ivo.garant.ru/document/redirect/12120314/2000" TargetMode="External"/><Relationship Id="rId24" Type="http://schemas.openxmlformats.org/officeDocument/2006/relationships/hyperlink" Target="http://ivo.garant.ru/document/redirect/12170812/2" TargetMode="External"/><Relationship Id="rId32" Type="http://schemas.openxmlformats.org/officeDocument/2006/relationships/hyperlink" Target="http://ivo.garant.ru/document/redirect/12170812/2" TargetMode="External"/><Relationship Id="rId37" Type="http://schemas.openxmlformats.org/officeDocument/2006/relationships/hyperlink" Target="http://ivo.garant.ru/document/redirect/12134114/0" TargetMode="External"/><Relationship Id="rId40" Type="http://schemas.openxmlformats.org/officeDocument/2006/relationships/hyperlink" Target="http://ivo.garant.ru/document/redirect/5425708/1227" TargetMode="External"/><Relationship Id="rId45" Type="http://schemas.openxmlformats.org/officeDocument/2006/relationships/hyperlink" Target="http://ivo.garant.ru/document/redirect/12161898/0" TargetMode="External"/><Relationship Id="rId53" Type="http://schemas.openxmlformats.org/officeDocument/2006/relationships/hyperlink" Target="http://ivo.garant.ru/document/redirect/12161898/0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http://ivo.garant.ru/document/redirect/12184511/1001" TargetMode="External"/><Relationship Id="rId14" Type="http://schemas.openxmlformats.org/officeDocument/2006/relationships/hyperlink" Target="http://ivo.garant.ru/document/redirect/12170812/2" TargetMode="External"/><Relationship Id="rId22" Type="http://schemas.openxmlformats.org/officeDocument/2006/relationships/hyperlink" Target="http://ivo.garant.ru/document/redirect/5760485/2424" TargetMode="External"/><Relationship Id="rId27" Type="http://schemas.openxmlformats.org/officeDocument/2006/relationships/hyperlink" Target="http://ivo.garant.ru/document/redirect/5227080/2456" TargetMode="External"/><Relationship Id="rId30" Type="http://schemas.openxmlformats.org/officeDocument/2006/relationships/hyperlink" Target="http://ivo.garant.ru/document/redirect/5755546/2611" TargetMode="External"/><Relationship Id="rId35" Type="http://schemas.openxmlformats.org/officeDocument/2006/relationships/hyperlink" Target="http://ivo.garant.ru/document/redirect/12170812/2" TargetMode="External"/><Relationship Id="rId43" Type="http://schemas.openxmlformats.org/officeDocument/2006/relationships/hyperlink" Target="http://ivo.garant.ru/document/redirect/5425708/2400" TargetMode="External"/><Relationship Id="rId48" Type="http://schemas.openxmlformats.org/officeDocument/2006/relationships/hyperlink" Target="http://ivo.garant.ru/document/redirect/12161898/3000" TargetMode="External"/><Relationship Id="rId56" Type="http://schemas.openxmlformats.org/officeDocument/2006/relationships/hyperlink" Target="http://ivo.garant.ru/document/redirect/12161898/8002" TargetMode="External"/><Relationship Id="rId8" Type="http://schemas.openxmlformats.org/officeDocument/2006/relationships/hyperlink" Target="http://ivo.garant.ru/document/redirect/12120314/2000" TargetMode="External"/><Relationship Id="rId51" Type="http://schemas.openxmlformats.org/officeDocument/2006/relationships/hyperlink" Target="http://ivo.garant.ru/document/redirect/5425708/26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12120314/0" TargetMode="External"/><Relationship Id="rId17" Type="http://schemas.openxmlformats.org/officeDocument/2006/relationships/hyperlink" Target="http://ivo.garant.ru/document/redirect/12161898/22" TargetMode="External"/><Relationship Id="rId25" Type="http://schemas.openxmlformats.org/officeDocument/2006/relationships/hyperlink" Target="http://ivo.garant.ru/document/redirect/5755546/2428" TargetMode="External"/><Relationship Id="rId33" Type="http://schemas.openxmlformats.org/officeDocument/2006/relationships/hyperlink" Target="http://ivo.garant.ru/document/redirect/5755546/2613" TargetMode="External"/><Relationship Id="rId38" Type="http://schemas.openxmlformats.org/officeDocument/2006/relationships/hyperlink" Target="http://ivo.garant.ru/document/redirect/4179300/0" TargetMode="External"/><Relationship Id="rId46" Type="http://schemas.openxmlformats.org/officeDocument/2006/relationships/hyperlink" Target="http://ivo.garant.ru/document/redirect/12161898/22" TargetMode="External"/><Relationship Id="rId59" Type="http://schemas.openxmlformats.org/officeDocument/2006/relationships/footer" Target="footer1.xml"/><Relationship Id="rId20" Type="http://schemas.openxmlformats.org/officeDocument/2006/relationships/hyperlink" Target="http://ivo.garant.ru/document/redirect/5760485/2423" TargetMode="External"/><Relationship Id="rId41" Type="http://schemas.openxmlformats.org/officeDocument/2006/relationships/hyperlink" Target="http://ivo.garant.ru/document/redirect/12115118/0" TargetMode="External"/><Relationship Id="rId54" Type="http://schemas.openxmlformats.org/officeDocument/2006/relationships/hyperlink" Target="http://ivo.garant.ru/document/redirect/12161898/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5755546/1222" TargetMode="External"/><Relationship Id="rId23" Type="http://schemas.openxmlformats.org/officeDocument/2006/relationships/hyperlink" Target="http://ivo.garant.ru/document/redirect/12170812/1002" TargetMode="External"/><Relationship Id="rId28" Type="http://schemas.openxmlformats.org/officeDocument/2006/relationships/hyperlink" Target="http://ivo.garant.ru/document/redirect/12170812/1031" TargetMode="External"/><Relationship Id="rId36" Type="http://schemas.openxmlformats.org/officeDocument/2006/relationships/hyperlink" Target="http://ivo.garant.ru/document/redirect/5755546/2617" TargetMode="External"/><Relationship Id="rId49" Type="http://schemas.openxmlformats.org/officeDocument/2006/relationships/hyperlink" Target="http://ivo.garant.ru/document/redirect/12161898/0" TargetMode="External"/><Relationship Id="rId57" Type="http://schemas.openxmlformats.org/officeDocument/2006/relationships/hyperlink" Target="http://ivo.garant.ru/document/redirect/12161898/0" TargetMode="External"/><Relationship Id="rId10" Type="http://schemas.openxmlformats.org/officeDocument/2006/relationships/hyperlink" Target="http://ivo.garant.ru/document/redirect/12115118/0" TargetMode="External"/><Relationship Id="rId31" Type="http://schemas.openxmlformats.org/officeDocument/2006/relationships/hyperlink" Target="http://ivo.garant.ru/document/redirect/12170812/1032" TargetMode="External"/><Relationship Id="rId44" Type="http://schemas.openxmlformats.org/officeDocument/2006/relationships/hyperlink" Target="http://ivo.garant.ru/document/redirect/12161898/4000" TargetMode="External"/><Relationship Id="rId52" Type="http://schemas.openxmlformats.org/officeDocument/2006/relationships/hyperlink" Target="http://ivo.garant.ru/document/redirect/12161898/6000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203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11585</Words>
  <Characters>66036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Владислав Межебовский</cp:lastModifiedBy>
  <cp:revision>2</cp:revision>
  <dcterms:created xsi:type="dcterms:W3CDTF">2020-08-26T07:09:00Z</dcterms:created>
  <dcterms:modified xsi:type="dcterms:W3CDTF">2020-08-26T07:09:00Z</dcterms:modified>
</cp:coreProperties>
</file>