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>
        <w:rPr>
          <w:b/>
          <w:bCs/>
        </w:rPr>
        <w:t>профессии</w:t>
      </w:r>
      <w:r w:rsidRPr="008216C0">
        <w:rPr>
          <w:b/>
          <w:bCs/>
        </w:rPr>
        <w:t xml:space="preserve"> 15.01.05 Сварщик (ручной и частично механизированной сварки (наплавки))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 w:rsidR="003C775A">
        <w:t>15.05.2023 г. по 28.05.2023 г.</w:t>
      </w:r>
      <w:r w:rsidRPr="00DB5AAF">
        <w:rPr>
          <w:spacing w:val="1"/>
        </w:rPr>
        <w:t xml:space="preserve">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 w:rsidR="003C775A">
        <w:t>2</w:t>
      </w:r>
      <w:r>
        <w:t xml:space="preserve">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866576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88</w:t>
            </w:r>
          </w:p>
        </w:tc>
        <w:tc>
          <w:tcPr>
            <w:tcW w:w="1446" w:type="dxa"/>
          </w:tcPr>
          <w:p w:rsidR="00961E96" w:rsidRPr="00EE1499" w:rsidRDefault="00866576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429" w:type="dxa"/>
          </w:tcPr>
          <w:p w:rsidR="00961E96" w:rsidRPr="00866576" w:rsidRDefault="00866576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  <w:r w:rsidR="00866576">
              <w:rPr>
                <w:i/>
                <w:sz w:val="24"/>
                <w:szCs w:val="24"/>
                <w:lang w:val="ru-RU"/>
              </w:rPr>
              <w:t>6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29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63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379" w:type="dxa"/>
          </w:tcPr>
          <w:p w:rsidR="00A53C91" w:rsidRPr="008B2C4B" w:rsidRDefault="00866576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11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выпускников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>техникума?</w:t>
            </w:r>
          </w:p>
        </w:tc>
        <w:tc>
          <w:tcPr>
            <w:tcW w:w="1385" w:type="dxa"/>
          </w:tcPr>
          <w:p w:rsidR="00A53C91" w:rsidRPr="008B2C4B" w:rsidRDefault="006324D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1446" w:type="dxa"/>
          </w:tcPr>
          <w:p w:rsidR="00A53C91" w:rsidRPr="008B2C4B" w:rsidRDefault="006324D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27</w:t>
            </w:r>
          </w:p>
        </w:tc>
        <w:tc>
          <w:tcPr>
            <w:tcW w:w="1429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28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81FA7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446" w:type="dxa"/>
          </w:tcPr>
          <w:p w:rsidR="00A53C91" w:rsidRPr="008B2C4B" w:rsidRDefault="00A81FA7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A81FA7" w:rsidP="00A81FA7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A81FA7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66</w:t>
            </w:r>
          </w:p>
        </w:tc>
        <w:tc>
          <w:tcPr>
            <w:tcW w:w="1446" w:type="dxa"/>
          </w:tcPr>
          <w:p w:rsidR="00961E96" w:rsidRPr="00EE1499" w:rsidRDefault="00A81FA7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961E96" w:rsidRPr="00EE1499" w:rsidRDefault="00A81FA7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961E96" w:rsidRPr="00EE1499" w:rsidRDefault="00A81FA7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  <w:bookmarkStart w:id="0" w:name="_GoBack"/>
            <w:bookmarkEnd w:id="0"/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="0029091D" w:rsidRPr="0029091D">
        <w:rPr>
          <w:rFonts w:eastAsiaTheme="minorHAnsi"/>
          <w:i/>
          <w:lang w:eastAsia="en-US"/>
        </w:rPr>
        <w:t>о</w:t>
      </w:r>
      <w:r w:rsidR="0029091D">
        <w:rPr>
          <w:rFonts w:eastAsiaTheme="minorHAnsi"/>
          <w:i/>
          <w:lang w:eastAsia="en-US"/>
        </w:rPr>
        <w:t>т трех месяцев до полгода – 18%</w:t>
      </w:r>
      <w:r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13%</w:t>
      </w:r>
      <w:r w:rsidR="00603AA7">
        <w:rPr>
          <w:rFonts w:eastAsiaTheme="minorHAnsi"/>
          <w:i/>
          <w:lang w:eastAsia="en-US"/>
        </w:rPr>
        <w:t>;</w:t>
      </w:r>
    </w:p>
    <w:p w:rsidR="0029091D" w:rsidRPr="0029091D" w:rsidRDefault="0029091D" w:rsidP="0029091D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29091D">
        <w:rPr>
          <w:rFonts w:eastAsiaTheme="minorHAnsi"/>
          <w:i/>
          <w:lang w:eastAsia="en-US"/>
        </w:rPr>
        <w:t>от 6 месяцев до 1 года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2%.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65466D" w:rsidRDefault="0029091D" w:rsidP="001C11D0">
            <w:pPr>
              <w:pStyle w:val="Default"/>
            </w:pPr>
            <w:r>
              <w:t>67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65466D" w:rsidRDefault="0029091D" w:rsidP="001C11D0">
            <w:pPr>
              <w:pStyle w:val="Default"/>
            </w:pPr>
            <w:r>
              <w:t>79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65466D" w:rsidRDefault="0029091D" w:rsidP="001C11D0">
            <w:pPr>
              <w:pStyle w:val="Default"/>
            </w:pPr>
            <w:r>
              <w:t>10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29091D" w:rsidP="001C11D0">
            <w:pPr>
              <w:pStyle w:val="Default"/>
            </w:pPr>
            <w:r>
              <w:t>54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65466D" w:rsidRDefault="0029091D" w:rsidP="001C11D0">
            <w:pPr>
              <w:pStyle w:val="Default"/>
            </w:pPr>
            <w:r>
              <w:t>48</w:t>
            </w:r>
            <w:r w:rsidR="00E30A7C" w:rsidRPr="0065466D">
              <w:t xml:space="preserve"> 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65466D" w:rsidRDefault="0029091D" w:rsidP="001C11D0">
            <w:pPr>
              <w:pStyle w:val="Default"/>
            </w:pPr>
            <w:r>
              <w:t>23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>аше предприятие не сотрудничает с образовательными организациями</w:t>
            </w:r>
          </w:p>
        </w:tc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>ответы носили разнообразный характер, но более 50 % отметили следующие качества</w:t>
      </w:r>
      <w:r w:rsidRPr="003B3047">
        <w:rPr>
          <w:rFonts w:eastAsiaTheme="minorHAnsi"/>
          <w:lang w:eastAsia="en-US"/>
        </w:rPr>
        <w:t xml:space="preserve">: 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самостоятельность;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A7761F">
        <w:rPr>
          <w:rFonts w:eastAsiaTheme="minorHAnsi"/>
          <w:lang w:eastAsia="en-US"/>
        </w:rPr>
        <w:t>коммуникативность</w:t>
      </w:r>
      <w:proofErr w:type="spellEnd"/>
      <w:r w:rsidR="00A7761F"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EE6F08" w:rsidRPr="003C775A" w:rsidRDefault="003C775A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3C775A">
        <w:rPr>
          <w:rFonts w:eastAsiaTheme="minorHAnsi"/>
          <w:i/>
          <w:lang w:eastAsia="en-US"/>
        </w:rPr>
        <w:t>Все устраивает.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29091D">
        <w:rPr>
          <w:rFonts w:eastAsiaTheme="minorHAnsi"/>
          <w:i/>
          <w:lang w:eastAsia="en-US"/>
        </w:rPr>
        <w:t>83</w:t>
      </w:r>
      <w:r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29091D">
        <w:rPr>
          <w:rFonts w:eastAsiaTheme="minorHAnsi"/>
          <w:i/>
          <w:lang w:eastAsia="en-US"/>
        </w:rPr>
        <w:t>15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29091D">
        <w:rPr>
          <w:rFonts w:eastAsiaTheme="minorHAnsi"/>
          <w:i/>
          <w:lang w:eastAsia="en-US"/>
        </w:rPr>
        <w:t>2%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29091D"/>
    <w:rsid w:val="002C5744"/>
    <w:rsid w:val="003B3047"/>
    <w:rsid w:val="003C775A"/>
    <w:rsid w:val="003F638A"/>
    <w:rsid w:val="004B2B33"/>
    <w:rsid w:val="00603AA7"/>
    <w:rsid w:val="006324DA"/>
    <w:rsid w:val="00635189"/>
    <w:rsid w:val="008216C0"/>
    <w:rsid w:val="00856F54"/>
    <w:rsid w:val="00866576"/>
    <w:rsid w:val="008B2C4B"/>
    <w:rsid w:val="00907C53"/>
    <w:rsid w:val="00961E96"/>
    <w:rsid w:val="00A53C91"/>
    <w:rsid w:val="00A7761F"/>
    <w:rsid w:val="00A81FA7"/>
    <w:rsid w:val="00BE40CB"/>
    <w:rsid w:val="00C72536"/>
    <w:rsid w:val="00D17A1D"/>
    <w:rsid w:val="00D66551"/>
    <w:rsid w:val="00E30A7C"/>
    <w:rsid w:val="00EE1499"/>
    <w:rsid w:val="00EE6F08"/>
    <w:rsid w:val="00F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245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2023-10-13T02:01:00Z</dcterms:created>
  <dcterms:modified xsi:type="dcterms:W3CDTF">2023-10-14T01:27:00Z</dcterms:modified>
</cp:coreProperties>
</file>